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7F93" w:rsidRDefault="007B7F93" w:rsidP="00EE705F">
      <w:pPr>
        <w:pStyle w:val="NormalWeb"/>
        <w:rPr>
          <w:rFonts w:ascii="Calibri" w:hAnsi="Calibri"/>
        </w:rPr>
      </w:pPr>
      <w:bookmarkStart w:id="0" w:name="_GoBack"/>
      <w:bookmarkEnd w:id="0"/>
      <w:r w:rsidRPr="007B7F93">
        <w:rPr>
          <w:rFonts w:ascii="Calibri" w:hAnsi="Calibri"/>
          <w:b/>
          <w:bCs/>
          <w:i/>
          <w:sz w:val="36"/>
          <w:szCs w:val="36"/>
        </w:rPr>
        <w:t>Ex Vivo</w:t>
      </w:r>
      <w:r w:rsidRPr="007B7F93">
        <w:rPr>
          <w:rFonts w:ascii="Calibri" w:hAnsi="Calibri"/>
          <w:b/>
          <w:bCs/>
          <w:sz w:val="36"/>
          <w:szCs w:val="36"/>
        </w:rPr>
        <w:t xml:space="preserve"> Red Blood Cell Hemolysis Assay for the Evaluation of Agents Facilitating Cytosolic Drug Delivery</w:t>
      </w:r>
    </w:p>
    <w:p w:rsidR="00EE705F" w:rsidRPr="000E7094" w:rsidRDefault="007B7F93" w:rsidP="00F43E81">
      <w:pPr>
        <w:pStyle w:val="NormalWeb"/>
        <w:rPr>
          <w:vertAlign w:val="superscript"/>
        </w:rPr>
      </w:pPr>
      <w:r>
        <w:rPr>
          <w:rFonts w:ascii="Calibri" w:hAnsi="Calibri"/>
          <w:bCs/>
        </w:rPr>
        <w:t>Shann S. Yu</w:t>
      </w:r>
      <w:r w:rsidR="000E7094">
        <w:rPr>
          <w:rFonts w:ascii="Calibri" w:hAnsi="Calibri"/>
          <w:bCs/>
          <w:vertAlign w:val="superscript"/>
        </w:rPr>
        <w:t>1,2</w:t>
      </w:r>
      <w:r>
        <w:rPr>
          <w:rFonts w:ascii="Calibri" w:hAnsi="Calibri"/>
          <w:bCs/>
        </w:rPr>
        <w:t>, Christopher E. Nelson</w:t>
      </w:r>
      <w:r w:rsidR="000E7094">
        <w:rPr>
          <w:rFonts w:ascii="Calibri" w:hAnsi="Calibri"/>
          <w:bCs/>
          <w:vertAlign w:val="superscript"/>
        </w:rPr>
        <w:t>1,2</w:t>
      </w:r>
      <w:r>
        <w:rPr>
          <w:rFonts w:ascii="Calibri" w:hAnsi="Calibri"/>
          <w:bCs/>
        </w:rPr>
        <w:t>, Arnold J. Kim</w:t>
      </w:r>
      <w:r w:rsidR="000E7094">
        <w:rPr>
          <w:rFonts w:ascii="Calibri" w:hAnsi="Calibri"/>
          <w:bCs/>
          <w:vertAlign w:val="superscript"/>
        </w:rPr>
        <w:t>1</w:t>
      </w:r>
      <w:r>
        <w:rPr>
          <w:rFonts w:ascii="Calibri" w:hAnsi="Calibri"/>
          <w:bCs/>
        </w:rPr>
        <w:t>, Brian C. Evans</w:t>
      </w:r>
      <w:r w:rsidR="000E7094">
        <w:rPr>
          <w:rFonts w:ascii="Calibri" w:hAnsi="Calibri"/>
          <w:bCs/>
          <w:vertAlign w:val="superscript"/>
        </w:rPr>
        <w:t>1</w:t>
      </w:r>
      <w:r>
        <w:rPr>
          <w:rFonts w:ascii="Calibri" w:hAnsi="Calibri"/>
          <w:bCs/>
        </w:rPr>
        <w:t>, Hongmei Li</w:t>
      </w:r>
      <w:r w:rsidR="000E7094">
        <w:rPr>
          <w:rFonts w:ascii="Calibri" w:hAnsi="Calibri"/>
          <w:bCs/>
          <w:vertAlign w:val="superscript"/>
        </w:rPr>
        <w:t>1,2</w:t>
      </w:r>
      <w:r>
        <w:rPr>
          <w:rFonts w:ascii="Calibri" w:hAnsi="Calibri"/>
          <w:bCs/>
        </w:rPr>
        <w:t>, Todd D. Giorgio</w:t>
      </w:r>
      <w:r w:rsidR="000E7094">
        <w:rPr>
          <w:rFonts w:ascii="Calibri" w:hAnsi="Calibri"/>
          <w:bCs/>
          <w:vertAlign w:val="superscript"/>
        </w:rPr>
        <w:t>1,2,3</w:t>
      </w:r>
      <w:r>
        <w:rPr>
          <w:rFonts w:ascii="Calibri" w:hAnsi="Calibri"/>
          <w:bCs/>
        </w:rPr>
        <w:t>, &amp; Craig L. Duvall</w:t>
      </w:r>
      <w:r w:rsidR="000E7094">
        <w:rPr>
          <w:rFonts w:ascii="Calibri" w:hAnsi="Calibri"/>
          <w:bCs/>
          <w:vertAlign w:val="superscript"/>
        </w:rPr>
        <w:t>1,2</w:t>
      </w:r>
    </w:p>
    <w:p w:rsidR="000E7094" w:rsidRPr="000E7094" w:rsidRDefault="000E7094" w:rsidP="00EE705F">
      <w:pPr>
        <w:rPr>
          <w:rFonts w:asciiTheme="minorHAnsi" w:hAnsiTheme="minorHAnsi" w:cstheme="minorHAnsi"/>
        </w:rPr>
      </w:pPr>
      <w:proofErr w:type="gramStart"/>
      <w:r w:rsidRPr="000E7094">
        <w:rPr>
          <w:rFonts w:asciiTheme="minorHAnsi" w:hAnsiTheme="minorHAnsi" w:cstheme="minorHAnsi"/>
          <w:vertAlign w:val="superscript"/>
        </w:rPr>
        <w:t>1</w:t>
      </w:r>
      <w:r w:rsidRPr="000E7094">
        <w:rPr>
          <w:rFonts w:asciiTheme="minorHAnsi" w:hAnsiTheme="minorHAnsi" w:cstheme="minorHAnsi"/>
        </w:rPr>
        <w:t>Department of Biomedical Engineering, Vanderbilt University.</w:t>
      </w:r>
      <w:proofErr w:type="gramEnd"/>
    </w:p>
    <w:p w:rsidR="000E7094" w:rsidRPr="000E7094" w:rsidRDefault="000E7094" w:rsidP="00EE705F">
      <w:pPr>
        <w:rPr>
          <w:rFonts w:asciiTheme="minorHAnsi" w:hAnsiTheme="minorHAnsi" w:cstheme="minorHAnsi"/>
        </w:rPr>
      </w:pPr>
      <w:r w:rsidRPr="000E7094">
        <w:rPr>
          <w:rFonts w:asciiTheme="minorHAnsi" w:hAnsiTheme="minorHAnsi" w:cstheme="minorHAnsi"/>
          <w:vertAlign w:val="superscript"/>
        </w:rPr>
        <w:t>2</w:t>
      </w:r>
      <w:r w:rsidRPr="000E7094">
        <w:rPr>
          <w:rFonts w:asciiTheme="minorHAnsi" w:hAnsiTheme="minorHAnsi" w:cstheme="minorHAnsi"/>
        </w:rPr>
        <w:t xml:space="preserve">Vanderbilt Institute for </w:t>
      </w:r>
      <w:proofErr w:type="spellStart"/>
      <w:r w:rsidRPr="000E7094">
        <w:rPr>
          <w:rFonts w:asciiTheme="minorHAnsi" w:hAnsiTheme="minorHAnsi" w:cstheme="minorHAnsi"/>
        </w:rPr>
        <w:t>Nanoscale</w:t>
      </w:r>
      <w:proofErr w:type="spellEnd"/>
      <w:r w:rsidRPr="000E7094">
        <w:rPr>
          <w:rFonts w:asciiTheme="minorHAnsi" w:hAnsiTheme="minorHAnsi" w:cstheme="minorHAnsi"/>
        </w:rPr>
        <w:t xml:space="preserve"> Science &amp; Engineering, Vanderbilt University</w:t>
      </w:r>
    </w:p>
    <w:p w:rsidR="000E7094" w:rsidRPr="000E7094" w:rsidRDefault="000E7094" w:rsidP="00EE705F">
      <w:pPr>
        <w:rPr>
          <w:rFonts w:asciiTheme="minorHAnsi" w:hAnsiTheme="minorHAnsi" w:cstheme="minorHAnsi"/>
        </w:rPr>
      </w:pPr>
      <w:r w:rsidRPr="000E7094">
        <w:rPr>
          <w:rFonts w:asciiTheme="minorHAnsi" w:hAnsiTheme="minorHAnsi" w:cstheme="minorHAnsi"/>
          <w:vertAlign w:val="superscript"/>
        </w:rPr>
        <w:t>3</w:t>
      </w:r>
      <w:r w:rsidRPr="000E7094">
        <w:rPr>
          <w:rFonts w:asciiTheme="minorHAnsi" w:hAnsiTheme="minorHAnsi" w:cstheme="minorHAnsi"/>
        </w:rPr>
        <w:t xml:space="preserve">Department of Chemical &amp; </w:t>
      </w:r>
      <w:proofErr w:type="spellStart"/>
      <w:r w:rsidRPr="000E7094">
        <w:rPr>
          <w:rFonts w:asciiTheme="minorHAnsi" w:hAnsiTheme="minorHAnsi" w:cstheme="minorHAnsi"/>
        </w:rPr>
        <w:t>Biomolecular</w:t>
      </w:r>
      <w:proofErr w:type="spellEnd"/>
      <w:r w:rsidRPr="000E7094">
        <w:rPr>
          <w:rFonts w:asciiTheme="minorHAnsi" w:hAnsiTheme="minorHAnsi" w:cstheme="minorHAnsi"/>
        </w:rPr>
        <w:t xml:space="preserve"> Engineering, Vanderbilt University</w:t>
      </w:r>
    </w:p>
    <w:p w:rsidR="000E7094" w:rsidRPr="000E7094" w:rsidRDefault="000E7094" w:rsidP="00EE705F">
      <w:pPr>
        <w:rPr>
          <w:rFonts w:asciiTheme="minorHAnsi" w:hAnsiTheme="minorHAnsi" w:cstheme="minorHAnsi"/>
        </w:rPr>
      </w:pPr>
    </w:p>
    <w:p w:rsidR="000E7094" w:rsidRPr="000E7094" w:rsidRDefault="000E7094" w:rsidP="00EE705F">
      <w:pPr>
        <w:rPr>
          <w:rFonts w:asciiTheme="minorHAnsi" w:hAnsiTheme="minorHAnsi" w:cstheme="minorHAnsi"/>
        </w:rPr>
      </w:pPr>
      <w:r w:rsidRPr="000E7094">
        <w:rPr>
          <w:rFonts w:asciiTheme="minorHAnsi" w:hAnsiTheme="minorHAnsi" w:cstheme="minorHAnsi"/>
        </w:rPr>
        <w:t>SSY: shann.yu@vanderbilt.edu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CEN: christopher.e.nelson@vanderbilt.edu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AJK: arnold.j.kim@vanderbilt.edu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BCE: brian.c.evans@vanderbilt.edu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HL: hongmei.li@vanderbilt.edu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TDG: todd.d.giorgio@vanderbilt.edu</w:t>
      </w:r>
    </w:p>
    <w:p w:rsidR="000E7094" w:rsidRPr="000E7094" w:rsidRDefault="000E7094" w:rsidP="00EE705F">
      <w:pPr>
        <w:rPr>
          <w:rFonts w:asciiTheme="minorHAnsi" w:hAnsiTheme="minorHAnsi" w:cstheme="minorHAnsi"/>
        </w:rPr>
      </w:pPr>
      <w:r w:rsidRPr="000E7094">
        <w:rPr>
          <w:rFonts w:asciiTheme="minorHAnsi" w:hAnsiTheme="minorHAnsi" w:cstheme="minorHAnsi"/>
        </w:rPr>
        <w:t>CLD: craig.l.duvall@vanderbilt.edu</w:t>
      </w:r>
    </w:p>
    <w:p w:rsidR="000E7094" w:rsidRPr="000E7094" w:rsidRDefault="000E7094" w:rsidP="00EE705F">
      <w:pPr>
        <w:rPr>
          <w:rFonts w:asciiTheme="minorHAnsi" w:hAnsiTheme="minorHAnsi" w:cstheme="minorHAnsi"/>
        </w:rPr>
      </w:pPr>
    </w:p>
    <w:p w:rsidR="00EE705F" w:rsidRDefault="00EE705F" w:rsidP="00EE705F">
      <w:pPr>
        <w:pStyle w:val="NormalWeb"/>
      </w:pPr>
      <w:r>
        <w:rPr>
          <w:rFonts w:ascii="Calibri" w:hAnsi="Calibri"/>
          <w:b/>
          <w:bCs/>
        </w:rPr>
        <w:t>Corresponding author:</w:t>
      </w:r>
      <w:r>
        <w:rPr>
          <w:rFonts w:ascii="Calibri" w:hAnsi="Calibri"/>
        </w:rPr>
        <w:t xml:space="preserve"> </w:t>
      </w:r>
      <w:r w:rsidR="004A241C">
        <w:rPr>
          <w:rFonts w:ascii="Calibri" w:hAnsi="Calibri"/>
        </w:rPr>
        <w:t>Craig L. Duvall</w:t>
      </w:r>
    </w:p>
    <w:p w:rsidR="00BA6E04" w:rsidRDefault="00EE705F" w:rsidP="00EE705F">
      <w:pPr>
        <w:pStyle w:val="NormalWeb"/>
        <w:rPr>
          <w:rFonts w:ascii="Calibri" w:hAnsi="Calibri"/>
        </w:rPr>
      </w:pPr>
      <w:r>
        <w:rPr>
          <w:rFonts w:ascii="Calibri" w:hAnsi="Calibri"/>
          <w:b/>
          <w:bCs/>
        </w:rPr>
        <w:t>Keywords:</w:t>
      </w:r>
    </w:p>
    <w:p w:rsidR="00EE705F" w:rsidRDefault="00BA6E04" w:rsidP="00EE705F">
      <w:pPr>
        <w:pStyle w:val="NormalWeb"/>
      </w:pPr>
      <w:r>
        <w:rPr>
          <w:rFonts w:ascii="Calibri" w:hAnsi="Calibri"/>
        </w:rPr>
        <w:t xml:space="preserve">Gene delivery, endosomes, nanoparticles, red blood cell </w:t>
      </w:r>
      <w:proofErr w:type="spellStart"/>
      <w:r>
        <w:rPr>
          <w:rFonts w:ascii="Calibri" w:hAnsi="Calibri"/>
        </w:rPr>
        <w:t>lysis</w:t>
      </w:r>
      <w:proofErr w:type="spellEnd"/>
      <w:r>
        <w:rPr>
          <w:rFonts w:ascii="Calibri" w:hAnsi="Calibri"/>
        </w:rPr>
        <w:t xml:space="preserve">, erythrocyte </w:t>
      </w:r>
      <w:proofErr w:type="spellStart"/>
      <w:r>
        <w:rPr>
          <w:rFonts w:ascii="Calibri" w:hAnsi="Calibri"/>
        </w:rPr>
        <w:t>lysis</w:t>
      </w:r>
      <w:proofErr w:type="spellEnd"/>
      <w:r>
        <w:rPr>
          <w:rFonts w:ascii="Calibri" w:hAnsi="Calibri"/>
        </w:rPr>
        <w:t>, cytosolic drug delivery</w:t>
      </w:r>
    </w:p>
    <w:p w:rsidR="00AB5376" w:rsidRDefault="00EE705F" w:rsidP="00EE705F">
      <w:pPr>
        <w:pStyle w:val="NormalWeb"/>
        <w:rPr>
          <w:rFonts w:ascii="Calibri" w:hAnsi="Calibri"/>
        </w:rPr>
      </w:pPr>
      <w:r w:rsidRPr="00DA5115">
        <w:rPr>
          <w:rFonts w:ascii="Calibri" w:hAnsi="Calibri"/>
          <w:b/>
          <w:bCs/>
        </w:rPr>
        <w:t>Short Abstract:</w:t>
      </w:r>
      <w:r w:rsidRPr="00DA5115">
        <w:rPr>
          <w:rFonts w:ascii="Calibri" w:hAnsi="Calibri"/>
        </w:rPr>
        <w:t xml:space="preserve"> </w:t>
      </w:r>
    </w:p>
    <w:p w:rsidR="00FE7C7A" w:rsidRDefault="00FE7C7A" w:rsidP="00AB5376">
      <w:pPr>
        <w:pStyle w:val="NormalWeb"/>
        <w:ind w:firstLine="720"/>
        <w:rPr>
          <w:rFonts w:ascii="Calibri" w:hAnsi="Calibri"/>
        </w:rPr>
      </w:pPr>
      <w:r w:rsidRPr="00DA5115">
        <w:rPr>
          <w:rFonts w:ascii="Calibri" w:hAnsi="Calibri"/>
        </w:rPr>
        <w:t>A</w:t>
      </w:r>
      <w:r w:rsidRPr="00FE7C7A">
        <w:rPr>
          <w:rFonts w:ascii="Calibri" w:hAnsi="Calibri"/>
        </w:rPr>
        <w:t xml:space="preserve"> hemolysis assay is an early screen </w:t>
      </w:r>
      <w:r w:rsidR="00B76632">
        <w:rPr>
          <w:rFonts w:ascii="Calibri" w:hAnsi="Calibri"/>
        </w:rPr>
        <w:t>to gauge the ability of</w:t>
      </w:r>
      <w:r w:rsidRPr="00FE7C7A">
        <w:rPr>
          <w:rFonts w:ascii="Calibri" w:hAnsi="Calibri"/>
        </w:rPr>
        <w:t xml:space="preserve"> drug delivery systems </w:t>
      </w:r>
      <w:r w:rsidR="00B76632">
        <w:rPr>
          <w:rFonts w:ascii="Calibri" w:hAnsi="Calibri"/>
        </w:rPr>
        <w:t>to deliver their cargo into the cell cytosol</w:t>
      </w:r>
      <w:r w:rsidRPr="00FE7C7A">
        <w:rPr>
          <w:rFonts w:ascii="Calibri" w:hAnsi="Calibri"/>
        </w:rPr>
        <w:t>.</w:t>
      </w:r>
      <w:r>
        <w:rPr>
          <w:rFonts w:ascii="Calibri" w:hAnsi="Calibri"/>
        </w:rPr>
        <w:t xml:space="preserve"> </w:t>
      </w:r>
      <w:r w:rsidR="00B76632">
        <w:rPr>
          <w:rFonts w:ascii="Calibri" w:hAnsi="Calibri"/>
        </w:rPr>
        <w:t>The assay measures</w:t>
      </w:r>
      <w:r w:rsidR="00DA5115">
        <w:rPr>
          <w:rFonts w:ascii="Calibri" w:hAnsi="Calibri"/>
        </w:rPr>
        <w:t xml:space="preserve"> the </w:t>
      </w:r>
      <w:r w:rsidR="00B76632">
        <w:rPr>
          <w:rFonts w:ascii="Calibri" w:hAnsi="Calibri"/>
        </w:rPr>
        <w:t>disruption of erythrocyte phospholip</w:t>
      </w:r>
      <w:r w:rsidR="00DA5115">
        <w:rPr>
          <w:rFonts w:ascii="Calibri" w:hAnsi="Calibri"/>
        </w:rPr>
        <w:t xml:space="preserve">id membranes as a function of environmental </w:t>
      </w:r>
      <w:proofErr w:type="spellStart"/>
      <w:r w:rsidR="00DA5115">
        <w:rPr>
          <w:rFonts w:ascii="Calibri" w:hAnsi="Calibri"/>
        </w:rPr>
        <w:t>pH.</w:t>
      </w:r>
      <w:proofErr w:type="spellEnd"/>
      <w:r w:rsidR="00B76632">
        <w:rPr>
          <w:rFonts w:ascii="Calibri" w:hAnsi="Calibri"/>
        </w:rPr>
        <w:t xml:space="preserve"> </w:t>
      </w:r>
    </w:p>
    <w:p w:rsidR="00EE705F" w:rsidRDefault="00EE705F" w:rsidP="00EE705F">
      <w:pPr>
        <w:pStyle w:val="NormalWeb"/>
        <w:rPr>
          <w:rFonts w:ascii="Calibri" w:hAnsi="Calibri"/>
        </w:rPr>
      </w:pPr>
      <w:r>
        <w:rPr>
          <w:rFonts w:ascii="Calibri" w:hAnsi="Calibri"/>
          <w:b/>
          <w:bCs/>
        </w:rPr>
        <w:t>Long Abstract:</w:t>
      </w:r>
      <w:r>
        <w:rPr>
          <w:rFonts w:ascii="Calibri" w:hAnsi="Calibri"/>
        </w:rPr>
        <w:t xml:space="preserve"> </w:t>
      </w:r>
    </w:p>
    <w:p w:rsidR="00BA0410" w:rsidRDefault="00B76632" w:rsidP="00BA0410">
      <w:pPr>
        <w:pStyle w:val="NormalWeb"/>
        <w:ind w:firstLine="720"/>
      </w:pPr>
      <w:r>
        <w:t xml:space="preserve">Although there are many potential therapeutic targets inside the cell, the delivery of </w:t>
      </w:r>
      <w:r w:rsidR="00656F14">
        <w:t>agents to address these intracellular targets poses a significant challenge</w:t>
      </w:r>
      <w:r w:rsidR="00BA6E04">
        <w:t>. Frequently,</w:t>
      </w:r>
      <w:r w:rsidR="000973C0">
        <w:t xml:space="preserve"> drugs are internalized by cells and packaged into vesicles</w:t>
      </w:r>
      <w:r w:rsidR="00BA6E04">
        <w:t xml:space="preserve">, only to become shuttled back to the cell membrane via exocytosis, or </w:t>
      </w:r>
      <w:r w:rsidR="00656F14">
        <w:t xml:space="preserve">degraded via the </w:t>
      </w:r>
      <w:proofErr w:type="spellStart"/>
      <w:r w:rsidR="00656F14">
        <w:t>endosomal</w:t>
      </w:r>
      <w:proofErr w:type="spellEnd"/>
      <w:r w:rsidR="00656F14">
        <w:t xml:space="preserve"> pathway</w:t>
      </w:r>
      <w:r w:rsidR="00BA6E04">
        <w:t>.</w:t>
      </w:r>
      <w:hyperlink w:anchor="_ENREF_1" w:tooltip="Alberts, 2002 #5116" w:history="1">
        <w:r w:rsidR="001B0A75">
          <w:fldChar w:fldCharType="begin"/>
        </w:r>
        <w:r w:rsidR="001B0A75">
          <w:instrText xml:space="preserve"> ADDIN EN.CITE &lt;EndNote&gt;&lt;Cite&gt;&lt;Author&gt;Alberts&lt;/Author&gt;&lt;Year&gt;2002&lt;/Year&gt;&lt;RecNum&gt;5116&lt;/RecNum&gt;&lt;DisplayText&gt;&lt;style face="superscript"&gt;1&lt;/style&gt;&lt;/DisplayText&gt;&lt;record&gt;&lt;rec-number&gt;5116&lt;/rec-number&gt;&lt;foreign-keys&gt;&lt;key app="EN" db-id="t0z9paptzsv9spetsptpevzoxva2epa2vvzx"&gt;5116&lt;/key&gt;&lt;/foreign-keys&gt;&lt;ref-type name="Book"&gt;6&lt;/ref-type&gt;&lt;contributors&gt;&lt;authors&gt;&lt;author&gt;Bruce Alberts&lt;/author&gt;&lt;author&gt;Alexander Johnson&lt;/author&gt;&lt;author&gt;Julian Lewis&lt;/author&gt;&lt;author&gt;Martin Raff&lt;/author&gt;&lt;author&gt;Keith Roberts&lt;/author&gt;&lt;author&gt;Peter Walter.&lt;/author&gt;&lt;/authors&gt;&lt;/contributors&gt;&lt;titles&gt;&lt;title&gt;Molecular Biology of the Cell&lt;/title&gt;&lt;/titles&gt;&lt;edition&gt;4th&lt;/edition&gt;&lt;dates&gt;&lt;year&gt;2002&lt;/year&gt;&lt;/dates&gt;&lt;pub-location&gt;New York, NY&lt;/pub-location&gt;&lt;publisher&gt;Garland Science&lt;/publisher&gt;&lt;isbn&gt;0-8153-3218-1&lt;/isbn&gt;&lt;urls&gt;&lt;/urls&gt;&lt;/record&gt;&lt;/Cite&gt;&lt;/EndNote&gt;</w:instrText>
        </w:r>
        <w:r w:rsidR="001B0A75">
          <w:fldChar w:fldCharType="separate"/>
        </w:r>
        <w:r w:rsidR="001B0A75" w:rsidRPr="000973C0">
          <w:rPr>
            <w:noProof/>
            <w:vertAlign w:val="superscript"/>
          </w:rPr>
          <w:t>1</w:t>
        </w:r>
        <w:r w:rsidR="001B0A75">
          <w:fldChar w:fldCharType="end"/>
        </w:r>
      </w:hyperlink>
      <w:r w:rsidR="00BA6E04">
        <w:t xml:space="preserve"> </w:t>
      </w:r>
      <w:r w:rsidR="00C36812">
        <w:t>In the latter process</w:t>
      </w:r>
      <w:r w:rsidR="000973C0">
        <w:t>, the</w:t>
      </w:r>
      <w:r w:rsidR="00C36812">
        <w:t xml:space="preserve"> internal pH of the</w:t>
      </w:r>
      <w:r w:rsidR="000973C0">
        <w:t xml:space="preserve"> vesicles </w:t>
      </w:r>
      <w:r w:rsidR="00C36812">
        <w:t>decreases to about</w:t>
      </w:r>
      <w:r w:rsidR="00BA0410">
        <w:t xml:space="preserve"> 6.0</w:t>
      </w:r>
      <w:r w:rsidR="00C36812">
        <w:t>, which is the optimal pH of enzymes that function in this compartment, such as lysozyme</w:t>
      </w:r>
      <w:r w:rsidR="00BA0410">
        <w:t>.</w:t>
      </w:r>
      <w:r w:rsidR="000973C0">
        <w:t xml:space="preserve"> </w:t>
      </w:r>
      <w:r w:rsidR="00BA6E04">
        <w:t xml:space="preserve">Recently, polymeric nanoparticles have been engineered that </w:t>
      </w:r>
      <w:r w:rsidR="00BA0410">
        <w:t xml:space="preserve">take advantage of this phenomenon to </w:t>
      </w:r>
      <w:r w:rsidR="00BA6E04">
        <w:t>facilitate cy</w:t>
      </w:r>
      <w:r w:rsidR="00BA0410">
        <w:t>tosolic delivery</w:t>
      </w:r>
      <w:r w:rsidR="00A52E70">
        <w:t xml:space="preserve"> of their cargo</w:t>
      </w:r>
      <w:r w:rsidR="00BA0410">
        <w:t>. These polymeric nanoparticles</w:t>
      </w:r>
      <w:r w:rsidR="00C2307C">
        <w:t xml:space="preserve"> are </w:t>
      </w:r>
      <w:proofErr w:type="spellStart"/>
      <w:r w:rsidR="00C2307C">
        <w:t>zwitterionic</w:t>
      </w:r>
      <w:proofErr w:type="spellEnd"/>
      <w:r w:rsidR="00C2307C">
        <w:t xml:space="preserve"> and charge-neutral at physiologic pH (7.4), and </w:t>
      </w:r>
      <w:r w:rsidR="00BA0410">
        <w:t>do not interact with phospholipid membranes</w:t>
      </w:r>
      <w:r w:rsidR="00C2307C">
        <w:t xml:space="preserve"> under these conditions.</w:t>
      </w:r>
      <w:r w:rsidR="00BA0410">
        <w:t xml:space="preserve"> </w:t>
      </w:r>
      <w:r w:rsidR="00C2307C">
        <w:t>However,</w:t>
      </w:r>
      <w:r w:rsidR="00BA0410">
        <w:t xml:space="preserve"> at pH 6.0 - 6.5</w:t>
      </w:r>
      <w:r w:rsidR="00C2307C">
        <w:t>, the polymers become</w:t>
      </w:r>
      <w:r w:rsidR="00BA0410">
        <w:t xml:space="preserve"> protonated and </w:t>
      </w:r>
      <w:r w:rsidR="00BA0410">
        <w:lastRenderedPageBreak/>
        <w:t>acquire</w:t>
      </w:r>
      <w:r w:rsidR="00C2307C">
        <w:t xml:space="preserve"> a net positive charge, increasing</w:t>
      </w:r>
      <w:r w:rsidR="00BA0410">
        <w:t xml:space="preserve"> the</w:t>
      </w:r>
      <w:r w:rsidR="00C2307C">
        <w:t>ir</w:t>
      </w:r>
      <w:r w:rsidR="00BA0410">
        <w:t xml:space="preserve"> ability to disrupt phospholipid bilayers</w:t>
      </w:r>
      <w:r w:rsidR="00121072">
        <w:t>, and therefore, lyse the endosomes containing the polymers</w:t>
      </w:r>
      <w:r w:rsidR="00BA0410">
        <w:t>. Th</w:t>
      </w:r>
      <w:r w:rsidR="00FE7C7A">
        <w:t xml:space="preserve">is activity has </w:t>
      </w:r>
      <w:r w:rsidR="00121072">
        <w:t xml:space="preserve">promoted the </w:t>
      </w:r>
      <w:proofErr w:type="spellStart"/>
      <w:r w:rsidR="00C2307C">
        <w:t>endosomal</w:t>
      </w:r>
      <w:proofErr w:type="spellEnd"/>
      <w:r w:rsidR="00C2307C">
        <w:t xml:space="preserve"> escape </w:t>
      </w:r>
      <w:r w:rsidR="00BA0410">
        <w:t>of peptide drugs and nucleic acids</w:t>
      </w:r>
      <w:r w:rsidR="00C2307C">
        <w:t>, allowing them to access their cytosolic targets</w:t>
      </w:r>
      <w:r w:rsidR="00BA0410">
        <w:t>.</w:t>
      </w:r>
      <w:r w:rsidR="00BA0410">
        <w:fldChar w:fldCharType="begin">
          <w:fldData xml:space="preserve">PEVuZE5vdGU+PENpdGU+PEF1dGhvcj5Db252ZXJ0aW5lPC9BdXRob3I+PFllYXI+MjAwOTwvWWVh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=
</w:fldData>
        </w:fldChar>
      </w:r>
      <w:r w:rsidR="00571D46">
        <w:instrText xml:space="preserve"> ADDIN EN.CITE </w:instrText>
      </w:r>
      <w:r w:rsidR="00571D46">
        <w:fldChar w:fldCharType="begin">
          <w:fldData xml:space="preserve">PEVuZE5vdGU+PENpdGU+PEF1dGhvcj5Db252ZXJ0aW5lPC9BdXRob3I+PFllYXI+MjAwOTwvWWVh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=
</w:fldData>
        </w:fldChar>
      </w:r>
      <w:r w:rsidR="00571D46">
        <w:instrText xml:space="preserve"> ADDIN EN.CITE.DATA </w:instrText>
      </w:r>
      <w:r w:rsidR="00571D46">
        <w:fldChar w:fldCharType="end"/>
      </w:r>
      <w:r w:rsidR="00BA0410">
        <w:fldChar w:fldCharType="separate"/>
      </w:r>
      <w:hyperlink w:anchor="_ENREF_2" w:tooltip="Convertine, 2009 #4459" w:history="1">
        <w:r w:rsidR="001B0A75" w:rsidRPr="00571D46">
          <w:rPr>
            <w:noProof/>
            <w:vertAlign w:val="superscript"/>
          </w:rPr>
          <w:t>2</w:t>
        </w:r>
      </w:hyperlink>
      <w:r w:rsidR="00571D46" w:rsidRPr="00571D46">
        <w:rPr>
          <w:noProof/>
          <w:vertAlign w:val="superscript"/>
        </w:rPr>
        <w:t xml:space="preserve">, </w:t>
      </w:r>
      <w:hyperlink w:anchor="_ENREF_3" w:tooltip="Duvall, 2010 #4551" w:history="1">
        <w:r w:rsidR="001B0A75" w:rsidRPr="00571D46">
          <w:rPr>
            <w:noProof/>
            <w:vertAlign w:val="superscript"/>
          </w:rPr>
          <w:t>3</w:t>
        </w:r>
      </w:hyperlink>
      <w:r w:rsidR="00BA0410">
        <w:fldChar w:fldCharType="end"/>
      </w:r>
    </w:p>
    <w:p w:rsidR="00FE7C7A" w:rsidRDefault="00121072" w:rsidP="00BA0410">
      <w:pPr>
        <w:pStyle w:val="NormalWeb"/>
        <w:ind w:firstLine="720"/>
      </w:pPr>
      <w:r>
        <w:t>Currently, t</w:t>
      </w:r>
      <w:r w:rsidR="00FE7C7A" w:rsidRPr="00FE7C7A">
        <w:t>he most reliable experimental m</w:t>
      </w:r>
      <w:r>
        <w:t xml:space="preserve">odel of this </w:t>
      </w:r>
      <w:proofErr w:type="spellStart"/>
      <w:r>
        <w:t>endosomolytic</w:t>
      </w:r>
      <w:proofErr w:type="spellEnd"/>
      <w:r>
        <w:t xml:space="preserve"> behavior is provided by the</w:t>
      </w:r>
      <w:r w:rsidR="00FE7C7A" w:rsidRPr="00FE7C7A">
        <w:t xml:space="preserve"> </w:t>
      </w:r>
      <w:r w:rsidR="00FE7C7A" w:rsidRPr="00FE7C7A">
        <w:rPr>
          <w:i/>
        </w:rPr>
        <w:t>ex vivo</w:t>
      </w:r>
      <w:r w:rsidR="00FE7C7A" w:rsidRPr="00FE7C7A">
        <w:t xml:space="preserve"> hemolysis assay.</w:t>
      </w:r>
      <w:hyperlink w:anchor="_ENREF_4" w:tooltip="Plank, 1994 #5117" w:history="1">
        <w:r w:rsidR="001B0A75">
          <w:fldChar w:fldCharType="begin"/>
        </w:r>
        <w:r w:rsidR="001B0A75">
          <w:instrText xml:space="preserve"> ADDIN EN.CITE &lt;EndNote&gt;&lt;Cite&gt;&lt;Author&gt;Plank&lt;/Author&gt;&lt;Year&gt;1994&lt;/Year&gt;&lt;RecNum&gt;5117&lt;/RecNum&gt;&lt;DisplayText&gt;&lt;style face="superscript"&gt;4&lt;/style&gt;&lt;/DisplayText&gt;&lt;record&gt;&lt;rec-number&gt;5117&lt;/rec-number&gt;&lt;foreign-keys&gt;&lt;key app="EN" db-id="t0z9paptzsv9spetsptpevzoxva2epa2vvzx"&gt;5117&lt;/key&gt;&lt;/foreign-keys&gt;&lt;ref-type name="Journal Article"&gt;17&lt;/ref-type&gt;&lt;contributors&gt;&lt;authors&gt;&lt;author&gt;Plank, C&lt;/author&gt;&lt;author&gt;Oberhauser, B&lt;/author&gt;&lt;author&gt;Mechtler, K&lt;/author&gt;&lt;author&gt;Koch, C&lt;/author&gt;&lt;author&gt;Wagner, E&lt;/author&gt;&lt;/authors&gt;&lt;/contributors&gt;&lt;titles&gt;&lt;title&gt;The influence of endosome-disruptive peptides on gene transfer using synthetic virus-like gene transfer systems&lt;/title&gt;&lt;secondary-title&gt;Journal of Biological Chemistry&lt;/secondary-title&gt;&lt;/titles&gt;&lt;periodical&gt;&lt;full-title&gt;Journal of Biological Chemistry&lt;/full-title&gt;&lt;/periodical&gt;&lt;pages&gt;12918-24&lt;/pages&gt;&lt;volume&gt;269&lt;/volume&gt;&lt;number&gt;17&lt;/number&gt;&lt;dates&gt;&lt;year&gt;1994&lt;/year&gt;&lt;pub-dates&gt;&lt;date&gt;April 29, 1994&lt;/date&gt;&lt;/pub-dates&gt;&lt;/dates&gt;&lt;urls&gt;&lt;related-urls&gt;&lt;url&gt;http://www.jbc.org/content/269/17/12918.abstract&lt;/url&gt;&lt;/related-urls&gt;&lt;/urls&gt;&lt;/record&gt;&lt;/Cite&gt;&lt;/EndNote&gt;</w:instrText>
        </w:r>
        <w:r w:rsidR="001B0A75">
          <w:fldChar w:fldCharType="separate"/>
        </w:r>
        <w:r w:rsidR="001B0A75" w:rsidRPr="00FE7C7A">
          <w:rPr>
            <w:noProof/>
            <w:vertAlign w:val="superscript"/>
          </w:rPr>
          <w:t>4</w:t>
        </w:r>
        <w:r w:rsidR="001B0A75">
          <w:fldChar w:fldCharType="end"/>
        </w:r>
      </w:hyperlink>
      <w:r w:rsidR="00FE7C7A" w:rsidRPr="00FE7C7A">
        <w:t xml:space="preserve"> In this experiment, </w:t>
      </w:r>
      <w:r w:rsidR="00FE7C7A">
        <w:t xml:space="preserve">human </w:t>
      </w:r>
      <w:r w:rsidR="00FE7C7A" w:rsidRPr="00FE7C7A">
        <w:t xml:space="preserve">red blood cells and polymeric nanoparticles are incubated in a series of buffers at defined </w:t>
      </w:r>
      <w:proofErr w:type="spellStart"/>
      <w:proofErr w:type="gramStart"/>
      <w:r w:rsidR="00FE7C7A" w:rsidRPr="00FE7C7A">
        <w:t>pHs</w:t>
      </w:r>
      <w:proofErr w:type="spellEnd"/>
      <w:proofErr w:type="gramEnd"/>
      <w:r w:rsidR="00FE7C7A" w:rsidRPr="00FE7C7A">
        <w:t xml:space="preserve">. Following a short centrifugation step to remove intact red blood cells, release of hemoglobin into the medium is measured by </w:t>
      </w:r>
      <w:r w:rsidR="00FE7C7A">
        <w:t>a spectrophotometer (405 nm for best dynamic range, but 450 or 541 nm are also acceptable)</w:t>
      </w:r>
      <w:r w:rsidR="00FE7C7A" w:rsidRPr="00FE7C7A">
        <w:t xml:space="preserve">. This is used as a surrogate measure for red blood cell </w:t>
      </w:r>
      <w:proofErr w:type="spellStart"/>
      <w:r w:rsidR="00FE7C7A" w:rsidRPr="00FE7C7A">
        <w:t>lysis</w:t>
      </w:r>
      <w:proofErr w:type="spellEnd"/>
      <w:r w:rsidR="00FE7C7A" w:rsidRPr="00FE7C7A">
        <w:t>.</w:t>
      </w:r>
      <w:r>
        <w:t xml:space="preserve"> This model has also been used by others to evaluate the </w:t>
      </w:r>
      <w:proofErr w:type="spellStart"/>
      <w:r>
        <w:t>endosomolytic</w:t>
      </w:r>
      <w:proofErr w:type="spellEnd"/>
      <w:r>
        <w:t xml:space="preserve"> behavior of cell-penetrating peptides and </w:t>
      </w:r>
      <w:r w:rsidR="00F847A6">
        <w:t>other gene delivery systems.</w:t>
      </w:r>
      <w:r>
        <w:fldChar w:fldCharType="begin">
          <w:fldData xml:space="preserve">PEVuZE5vdGU+PENpdGU+PEF1dGhvcj5TYWFyPC9BdXRob3I+PFllYXI+MjAwNTwvWWVhcj48UmVj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</w:fldData>
        </w:fldChar>
      </w:r>
      <w:r w:rsidR="00F847A6">
        <w:instrText xml:space="preserve"> ADDIN EN.CITE </w:instrText>
      </w:r>
      <w:r w:rsidR="00F847A6">
        <w:fldChar w:fldCharType="begin">
          <w:fldData xml:space="preserve">PEVuZE5vdGU+PENpdGU+PEF1dGhvcj5TYWFyPC9BdXRob3I+PFllYXI+MjAwNTwvWWVhcj48UmVj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</w:fldData>
        </w:fldChar>
      </w:r>
      <w:r w:rsidR="00F847A6">
        <w:instrText xml:space="preserve"> ADDIN EN.CITE.DATA </w:instrText>
      </w:r>
      <w:r w:rsidR="00F847A6">
        <w:fldChar w:fldCharType="end"/>
      </w:r>
      <w:r>
        <w:fldChar w:fldCharType="separate"/>
      </w:r>
      <w:hyperlink w:anchor="_ENREF_5" w:tooltip="Saar, 2005 #5134" w:history="1">
        <w:r w:rsidR="001B0A75" w:rsidRPr="00F847A6">
          <w:rPr>
            <w:noProof/>
            <w:vertAlign w:val="superscript"/>
          </w:rPr>
          <w:t>5</w:t>
        </w:r>
      </w:hyperlink>
      <w:r w:rsidR="00F847A6" w:rsidRPr="00F847A6">
        <w:rPr>
          <w:noProof/>
          <w:vertAlign w:val="superscript"/>
        </w:rPr>
        <w:t xml:space="preserve">, </w:t>
      </w:r>
      <w:hyperlink w:anchor="_ENREF_6" w:tooltip="Kichler, 2001 #5135" w:history="1">
        <w:r w:rsidR="001B0A75" w:rsidRPr="00F847A6">
          <w:rPr>
            <w:noProof/>
            <w:vertAlign w:val="superscript"/>
          </w:rPr>
          <w:t>6</w:t>
        </w:r>
      </w:hyperlink>
      <w:r>
        <w:fldChar w:fldCharType="end"/>
      </w:r>
    </w:p>
    <w:p w:rsidR="00BA6E04" w:rsidRDefault="00FE7C7A" w:rsidP="00BA0410">
      <w:pPr>
        <w:pStyle w:val="NormalWeb"/>
        <w:ind w:firstLine="720"/>
      </w:pPr>
      <w:r>
        <w:t>The</w:t>
      </w:r>
      <w:r w:rsidR="00BA6E04" w:rsidRPr="00BA6E04">
        <w:t xml:space="preserve"> hypothesis is that the polymers that </w:t>
      </w:r>
      <w:r w:rsidR="00C54F10">
        <w:t>result in the least hemolysis at pH 7.4, but significantly elevated hemolysis at pH &lt; 6.5, will be the</w:t>
      </w:r>
      <w:r w:rsidR="00BA6E04" w:rsidRPr="00BA6E04">
        <w:t xml:space="preserve"> most effective candidates for </w:t>
      </w:r>
      <w:r w:rsidR="00C54F10">
        <w:t>cytosolic drug delivery</w:t>
      </w:r>
      <w:r w:rsidR="00BA6E04" w:rsidRPr="00BA6E04">
        <w:t>.</w:t>
      </w:r>
      <w:r>
        <w:t xml:space="preserve"> This is because polymers that fit th</w:t>
      </w:r>
      <w:r w:rsidR="00C54F10">
        <w:t>e</w:t>
      </w:r>
      <w:r>
        <w:t>s</w:t>
      </w:r>
      <w:r w:rsidR="00C54F10">
        <w:t>e</w:t>
      </w:r>
      <w:r>
        <w:t xml:space="preserve"> criteria would be expected to remain ‘inert’ until a drop in the local pH, </w:t>
      </w:r>
      <w:r w:rsidR="00C54F10">
        <w:t>which primarily occurs</w:t>
      </w:r>
      <w:r>
        <w:t xml:space="preserve"> </w:t>
      </w:r>
      <w:r w:rsidR="00C54F10">
        <w:t xml:space="preserve">within </w:t>
      </w:r>
      <w:proofErr w:type="spellStart"/>
      <w:r w:rsidR="00C54F10">
        <w:t>endosomal</w:t>
      </w:r>
      <w:proofErr w:type="spellEnd"/>
      <w:r w:rsidR="00C54F10">
        <w:t xml:space="preserve"> compartments.</w:t>
      </w:r>
      <w:r>
        <w:t xml:space="preserve"> </w:t>
      </w:r>
      <w:r w:rsidR="00C54F10">
        <w:t xml:space="preserve">Therefore, this environmental </w:t>
      </w:r>
      <w:r>
        <w:t>trigger</w:t>
      </w:r>
      <w:r w:rsidR="00C54F10">
        <w:t xml:space="preserve"> is required for </w:t>
      </w:r>
      <w:proofErr w:type="spellStart"/>
      <w:r w:rsidR="00C54F10">
        <w:t>endosomal</w:t>
      </w:r>
      <w:proofErr w:type="spellEnd"/>
      <w:r w:rsidR="00C54F10">
        <w:t xml:space="preserve"> escape of the payload carried by the polymers</w:t>
      </w:r>
      <w:r>
        <w:t>.</w:t>
      </w:r>
    </w:p>
    <w:p w:rsidR="00AC6CDE" w:rsidRDefault="00C54F10" w:rsidP="00AC6CDE">
      <w:pPr>
        <w:pStyle w:val="NormalWeb"/>
        <w:ind w:firstLine="720"/>
      </w:pPr>
      <w:r>
        <w:t>In this protocol</w:t>
      </w:r>
      <w:r w:rsidR="00821379">
        <w:t xml:space="preserve">, erythrocytes will be isolated from </w:t>
      </w:r>
      <w:r>
        <w:t>a human donor</w:t>
      </w:r>
      <w:r w:rsidR="00821379">
        <w:t xml:space="preserve">, and </w:t>
      </w:r>
      <w:r>
        <w:t>co-incubat</w:t>
      </w:r>
      <w:r w:rsidR="00821379">
        <w:t>ed at pH 5.6, 6.2, 6.8, or 7.4 with experimental drug delivery agents.</w:t>
      </w:r>
      <w:r>
        <w:t xml:space="preserve"> Any r</w:t>
      </w:r>
      <w:r w:rsidR="00821379">
        <w:t>emaining erythrocytes are pelleted, and the supernatants (containing hemoglobin released from lysed erythrocytes) are analyzed via a plate reader</w:t>
      </w:r>
      <w:r w:rsidR="00AC6CDE">
        <w:t xml:space="preserve"> (Figure 1)</w:t>
      </w:r>
      <w:r w:rsidR="00821379">
        <w:t>.</w:t>
      </w:r>
    </w:p>
    <w:p w:rsidR="00EE705F" w:rsidRDefault="00211B0E" w:rsidP="00EE705F">
      <w:pPr>
        <w:pStyle w:val="NormalWeb"/>
      </w:pPr>
      <w:r>
        <w:rPr>
          <w:rFonts w:ascii="Calibri" w:hAnsi="Calibri"/>
          <w:b/>
          <w:bCs/>
        </w:rPr>
        <w:t>Protocol Text</w:t>
      </w:r>
      <w:r w:rsidR="00EE705F">
        <w:rPr>
          <w:rFonts w:ascii="Calibri" w:hAnsi="Calibri"/>
          <w:b/>
          <w:bCs/>
        </w:rPr>
        <w:t xml:space="preserve">: </w:t>
      </w:r>
    </w:p>
    <w:p w:rsidR="00571D46" w:rsidRPr="00211B0E" w:rsidRDefault="00571D46" w:rsidP="00571D46">
      <w:pPr>
        <w:pStyle w:val="NormalWeb"/>
        <w:numPr>
          <w:ilvl w:val="0"/>
          <w:numId w:val="3"/>
        </w:numPr>
        <w:tabs>
          <w:tab w:val="left" w:pos="360"/>
        </w:tabs>
        <w:ind w:left="360"/>
        <w:rPr>
          <w:rFonts w:asciiTheme="minorHAnsi" w:hAnsiTheme="minorHAnsi" w:cstheme="minorHAnsi"/>
          <w:b/>
        </w:rPr>
      </w:pPr>
      <w:r w:rsidRPr="00211B0E">
        <w:rPr>
          <w:rFonts w:asciiTheme="minorHAnsi" w:hAnsiTheme="minorHAnsi" w:cstheme="minorHAnsi"/>
          <w:b/>
        </w:rPr>
        <w:t>Preparation and Sterilization of Buffers and Test Agents</w:t>
      </w:r>
    </w:p>
    <w:p w:rsidR="00821379" w:rsidRDefault="00571D46" w:rsidP="00211B0E">
      <w:pPr>
        <w:pStyle w:val="NormalWeb"/>
        <w:numPr>
          <w:ilvl w:val="1"/>
          <w:numId w:val="4"/>
        </w:numPr>
        <w:spacing w:after="240" w:afterAutospacing="0"/>
        <w:ind w:left="446" w:hanging="446"/>
        <w:rPr>
          <w:rFonts w:asciiTheme="minorHAnsi" w:hAnsiTheme="minorHAnsi" w:cstheme="minorHAnsi"/>
        </w:rPr>
      </w:pPr>
      <w:r w:rsidRPr="00211B0E">
        <w:rPr>
          <w:rFonts w:asciiTheme="minorHAnsi" w:hAnsiTheme="minorHAnsi" w:cstheme="minorHAnsi"/>
        </w:rPr>
        <w:t xml:space="preserve">150 </w:t>
      </w:r>
      <w:proofErr w:type="spellStart"/>
      <w:r w:rsidRPr="00211B0E">
        <w:rPr>
          <w:rFonts w:asciiTheme="minorHAnsi" w:hAnsiTheme="minorHAnsi" w:cstheme="minorHAnsi"/>
        </w:rPr>
        <w:t>mM</w:t>
      </w:r>
      <w:proofErr w:type="spellEnd"/>
      <w:r w:rsidRPr="00211B0E">
        <w:rPr>
          <w:rFonts w:asciiTheme="minorHAnsi" w:hAnsiTheme="minorHAnsi" w:cstheme="minorHAnsi"/>
        </w:rPr>
        <w:t xml:space="preserve"> </w:t>
      </w:r>
      <w:proofErr w:type="spellStart"/>
      <w:r w:rsidRPr="00211B0E">
        <w:rPr>
          <w:rFonts w:asciiTheme="minorHAnsi" w:hAnsiTheme="minorHAnsi" w:cstheme="minorHAnsi"/>
        </w:rPr>
        <w:t>NaCl</w:t>
      </w:r>
      <w:proofErr w:type="spellEnd"/>
      <w:r w:rsidRPr="00211B0E">
        <w:rPr>
          <w:rFonts w:asciiTheme="minorHAnsi" w:hAnsiTheme="minorHAnsi" w:cstheme="minorHAnsi"/>
        </w:rPr>
        <w:t xml:space="preserve"> buffer: Dissolve 4.383 g </w:t>
      </w:r>
      <w:proofErr w:type="spellStart"/>
      <w:r w:rsidRPr="00211B0E">
        <w:rPr>
          <w:rFonts w:asciiTheme="minorHAnsi" w:hAnsiTheme="minorHAnsi" w:cstheme="minorHAnsi"/>
        </w:rPr>
        <w:t>NaCl</w:t>
      </w:r>
      <w:proofErr w:type="spellEnd"/>
      <w:r w:rsidRPr="00211B0E">
        <w:rPr>
          <w:rFonts w:asciiTheme="minorHAnsi" w:hAnsiTheme="minorHAnsi" w:cstheme="minorHAnsi"/>
        </w:rPr>
        <w:t xml:space="preserve"> cryst</w:t>
      </w:r>
      <w:r w:rsidR="00211B0E" w:rsidRPr="00211B0E">
        <w:rPr>
          <w:rFonts w:asciiTheme="minorHAnsi" w:hAnsiTheme="minorHAnsi" w:cstheme="minorHAnsi"/>
        </w:rPr>
        <w:t xml:space="preserve">als in 500 mL of </w:t>
      </w:r>
      <w:proofErr w:type="spellStart"/>
      <w:r w:rsidR="00211B0E" w:rsidRPr="00211B0E">
        <w:rPr>
          <w:rFonts w:asciiTheme="minorHAnsi" w:hAnsiTheme="minorHAnsi" w:cstheme="minorHAnsi"/>
        </w:rPr>
        <w:t>nanopure</w:t>
      </w:r>
      <w:proofErr w:type="spellEnd"/>
      <w:r w:rsidR="00211B0E" w:rsidRPr="00211B0E">
        <w:rPr>
          <w:rFonts w:asciiTheme="minorHAnsi" w:hAnsiTheme="minorHAnsi" w:cstheme="minorHAnsi"/>
        </w:rPr>
        <w:t xml:space="preserve"> water.</w:t>
      </w:r>
    </w:p>
    <w:p w:rsidR="00571D46" w:rsidRPr="00211B0E" w:rsidRDefault="00571D46" w:rsidP="00211B0E">
      <w:pPr>
        <w:pStyle w:val="NormalWeb"/>
        <w:numPr>
          <w:ilvl w:val="1"/>
          <w:numId w:val="4"/>
        </w:numPr>
        <w:spacing w:after="240" w:afterAutospacing="0"/>
        <w:ind w:left="446" w:hanging="446"/>
        <w:rPr>
          <w:rFonts w:asciiTheme="minorHAnsi" w:hAnsiTheme="minorHAnsi" w:cstheme="minorHAnsi"/>
        </w:rPr>
      </w:pPr>
      <w:proofErr w:type="gramStart"/>
      <w:r w:rsidRPr="00211B0E">
        <w:rPr>
          <w:rFonts w:asciiTheme="minorHAnsi" w:hAnsiTheme="minorHAnsi" w:cstheme="minorHAnsi"/>
        </w:rPr>
        <w:t>pH</w:t>
      </w:r>
      <w:proofErr w:type="gramEnd"/>
      <w:r w:rsidRPr="00211B0E">
        <w:rPr>
          <w:rFonts w:asciiTheme="minorHAnsi" w:hAnsiTheme="minorHAnsi" w:cstheme="minorHAnsi"/>
        </w:rPr>
        <w:t xml:space="preserve"> Buffers: Add concentrated </w:t>
      </w:r>
      <w:proofErr w:type="spellStart"/>
      <w:r w:rsidRPr="00211B0E">
        <w:rPr>
          <w:rFonts w:asciiTheme="minorHAnsi" w:hAnsiTheme="minorHAnsi" w:cstheme="minorHAnsi"/>
        </w:rPr>
        <w:t>HCl</w:t>
      </w:r>
      <w:proofErr w:type="spellEnd"/>
      <w:r w:rsidRPr="00211B0E">
        <w:rPr>
          <w:rFonts w:asciiTheme="minorHAnsi" w:hAnsiTheme="minorHAnsi" w:cstheme="minorHAnsi"/>
        </w:rPr>
        <w:t xml:space="preserve"> to bottles of D-PBS, </w:t>
      </w:r>
      <w:proofErr w:type="spellStart"/>
      <w:r w:rsidRPr="00211B0E">
        <w:rPr>
          <w:rFonts w:asciiTheme="minorHAnsi" w:hAnsiTheme="minorHAnsi" w:cstheme="minorHAnsi"/>
        </w:rPr>
        <w:t>dropwise</w:t>
      </w:r>
      <w:proofErr w:type="spellEnd"/>
      <w:r w:rsidRPr="00211B0E">
        <w:rPr>
          <w:rFonts w:asciiTheme="minorHAnsi" w:hAnsiTheme="minorHAnsi" w:cstheme="minorHAnsi"/>
        </w:rPr>
        <w:t xml:space="preserve"> with stirring, to adjust pH from 7.4 (as-purchased) to 5.6, 6.2, and 6.8. Check pH against several pH meters if possible to ensure accuracy of measurements.</w:t>
      </w:r>
    </w:p>
    <w:p w:rsidR="00571D46" w:rsidRPr="00211B0E" w:rsidRDefault="00571D46" w:rsidP="00211B0E">
      <w:pPr>
        <w:pStyle w:val="NormalWeb"/>
        <w:numPr>
          <w:ilvl w:val="1"/>
          <w:numId w:val="4"/>
        </w:numPr>
        <w:spacing w:after="240" w:afterAutospacing="0"/>
        <w:ind w:left="446" w:hanging="446"/>
        <w:rPr>
          <w:rFonts w:asciiTheme="minorHAnsi" w:hAnsiTheme="minorHAnsi" w:cstheme="minorHAnsi"/>
        </w:rPr>
      </w:pPr>
      <w:r w:rsidRPr="00211B0E">
        <w:rPr>
          <w:rFonts w:asciiTheme="minorHAnsi" w:hAnsiTheme="minorHAnsi" w:cstheme="minorHAnsi"/>
        </w:rPr>
        <w:t>Sterilize all buffers noted above through a bottle-top vacuum filtration apparatus.</w:t>
      </w:r>
    </w:p>
    <w:p w:rsidR="00571D46" w:rsidRPr="00211B0E" w:rsidRDefault="00571D46" w:rsidP="00211B0E">
      <w:pPr>
        <w:pStyle w:val="NormalWeb"/>
        <w:numPr>
          <w:ilvl w:val="1"/>
          <w:numId w:val="4"/>
        </w:numPr>
        <w:spacing w:after="240" w:afterAutospacing="0"/>
        <w:ind w:left="446" w:hanging="446"/>
        <w:rPr>
          <w:rFonts w:asciiTheme="minorHAnsi" w:hAnsiTheme="minorHAnsi" w:cstheme="minorHAnsi"/>
        </w:rPr>
      </w:pPr>
      <w:r w:rsidRPr="00211B0E">
        <w:rPr>
          <w:rFonts w:asciiTheme="minorHAnsi" w:hAnsiTheme="minorHAnsi" w:cstheme="minorHAnsi"/>
        </w:rPr>
        <w:t xml:space="preserve">20% Triton X-100 (positive control): Mix 20 mL pure Triton X-100 in 80 mL of </w:t>
      </w:r>
      <w:proofErr w:type="spellStart"/>
      <w:r w:rsidRPr="00211B0E">
        <w:rPr>
          <w:rFonts w:asciiTheme="minorHAnsi" w:hAnsiTheme="minorHAnsi" w:cstheme="minorHAnsi"/>
        </w:rPr>
        <w:t>nanopure</w:t>
      </w:r>
      <w:proofErr w:type="spellEnd"/>
      <w:r w:rsidRPr="00211B0E">
        <w:rPr>
          <w:rFonts w:asciiTheme="minorHAnsi" w:hAnsiTheme="minorHAnsi" w:cstheme="minorHAnsi"/>
        </w:rPr>
        <w:t xml:space="preserve"> water. Shake vigorously and </w:t>
      </w:r>
      <w:proofErr w:type="spellStart"/>
      <w:r w:rsidRPr="00211B0E">
        <w:rPr>
          <w:rFonts w:asciiTheme="minorHAnsi" w:hAnsiTheme="minorHAnsi" w:cstheme="minorHAnsi"/>
        </w:rPr>
        <w:t>sonicate</w:t>
      </w:r>
      <w:proofErr w:type="spellEnd"/>
      <w:r w:rsidRPr="00211B0E">
        <w:rPr>
          <w:rFonts w:asciiTheme="minorHAnsi" w:hAnsiTheme="minorHAnsi" w:cstheme="minorHAnsi"/>
        </w:rPr>
        <w:t xml:space="preserve"> to dissolve. Leave at room temperature overnight before use.</w:t>
      </w:r>
    </w:p>
    <w:p w:rsidR="00211B0E" w:rsidRPr="00211B0E" w:rsidRDefault="00211B0E" w:rsidP="00211B0E">
      <w:pPr>
        <w:pStyle w:val="NormalWeb"/>
        <w:tabs>
          <w:tab w:val="left" w:pos="360"/>
        </w:tabs>
        <w:ind w:left="360" w:hanging="360"/>
        <w:rPr>
          <w:rFonts w:asciiTheme="minorHAnsi" w:hAnsiTheme="minorHAnsi" w:cstheme="minorHAnsi"/>
          <w:b/>
        </w:rPr>
      </w:pPr>
      <w:r w:rsidRPr="00211B0E">
        <w:rPr>
          <w:rFonts w:asciiTheme="minorHAnsi" w:hAnsiTheme="minorHAnsi" w:cstheme="minorHAnsi"/>
          <w:b/>
        </w:rPr>
        <w:t xml:space="preserve">2) </w:t>
      </w:r>
      <w:r w:rsidRPr="00211B0E">
        <w:rPr>
          <w:rFonts w:asciiTheme="minorHAnsi" w:hAnsiTheme="minorHAnsi" w:cstheme="minorHAnsi"/>
          <w:b/>
        </w:rPr>
        <w:tab/>
        <w:t>Preparation of Erythrocytes</w:t>
      </w:r>
    </w:p>
    <w:p w:rsidR="00211B0E" w:rsidRDefault="00571D46" w:rsidP="00211B0E">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lastRenderedPageBreak/>
        <w:t>Obtain 25 ml of blood from ano</w:t>
      </w:r>
      <w:r w:rsidR="00211B0E">
        <w:rPr>
          <w:rFonts w:asciiTheme="minorHAnsi" w:hAnsiTheme="minorHAnsi" w:cstheme="minorHAnsi"/>
        </w:rPr>
        <w:t>nymous human blood donor</w:t>
      </w:r>
      <w:r w:rsidR="00821379">
        <w:rPr>
          <w:rFonts w:asciiTheme="minorHAnsi" w:hAnsiTheme="minorHAnsi" w:cstheme="minorHAnsi"/>
        </w:rPr>
        <w:t>, stored temporarily in K</w:t>
      </w:r>
      <w:r w:rsidR="00821379" w:rsidRPr="00821379">
        <w:rPr>
          <w:rFonts w:asciiTheme="minorHAnsi" w:hAnsiTheme="minorHAnsi" w:cstheme="minorHAnsi"/>
          <w:vertAlign w:val="subscript"/>
        </w:rPr>
        <w:t>2</w:t>
      </w:r>
      <w:r w:rsidR="00821379">
        <w:rPr>
          <w:rFonts w:asciiTheme="minorHAnsi" w:hAnsiTheme="minorHAnsi" w:cstheme="minorHAnsi"/>
        </w:rPr>
        <w:t xml:space="preserve">-EDTA-coated </w:t>
      </w:r>
      <w:proofErr w:type="spellStart"/>
      <w:r w:rsidR="00821379">
        <w:rPr>
          <w:rFonts w:asciiTheme="minorHAnsi" w:hAnsiTheme="minorHAnsi" w:cstheme="minorHAnsi"/>
        </w:rPr>
        <w:t>Vacutainer</w:t>
      </w:r>
      <w:proofErr w:type="spellEnd"/>
      <w:r w:rsidR="00821379">
        <w:rPr>
          <w:rFonts w:asciiTheme="minorHAnsi" w:hAnsiTheme="minorHAnsi" w:cstheme="minorHAnsi"/>
        </w:rPr>
        <w:t xml:space="preserve"> tubes to discourage coagulation,</w:t>
      </w:r>
      <w:r w:rsidR="00211B0E">
        <w:rPr>
          <w:rFonts w:asciiTheme="minorHAnsi" w:hAnsiTheme="minorHAnsi" w:cstheme="minorHAnsi"/>
        </w:rPr>
        <w:t xml:space="preserve"> according to IRB-approved Study Protocol.</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Centrifuge blood at 1500 rpm for 5 minutes, and </w:t>
      </w:r>
      <w:r w:rsidR="00211B0E">
        <w:rPr>
          <w:rFonts w:asciiTheme="minorHAnsi" w:hAnsiTheme="minorHAnsi" w:cstheme="minorHAnsi"/>
        </w:rPr>
        <w:t>mark levels of blood</w:t>
      </w:r>
      <w:r w:rsidR="00A80229">
        <w:rPr>
          <w:rFonts w:asciiTheme="minorHAnsi" w:hAnsiTheme="minorHAnsi" w:cstheme="minorHAnsi"/>
        </w:rPr>
        <w:t xml:space="preserve"> (red, lower layer)</w:t>
      </w:r>
      <w:r w:rsidR="00211B0E">
        <w:rPr>
          <w:rFonts w:asciiTheme="minorHAnsi" w:hAnsiTheme="minorHAnsi" w:cstheme="minorHAnsi"/>
        </w:rPr>
        <w:t xml:space="preserve"> and plasma</w:t>
      </w:r>
      <w:r w:rsidR="00A80229">
        <w:rPr>
          <w:rFonts w:asciiTheme="minorHAnsi" w:hAnsiTheme="minorHAnsi" w:cstheme="minorHAnsi"/>
        </w:rPr>
        <w:t xml:space="preserve"> (yellowish, upper layer)</w:t>
      </w:r>
      <w:r w:rsidR="00211B0E">
        <w:rPr>
          <w:rFonts w:asciiTheme="minorHAnsi" w:hAnsiTheme="minorHAnsi" w:cstheme="minorHAnsi"/>
        </w:rPr>
        <w:t xml:space="preserve"> </w:t>
      </w:r>
      <w:r w:rsidRPr="00211B0E">
        <w:rPr>
          <w:rFonts w:asciiTheme="minorHAnsi" w:hAnsiTheme="minorHAnsi" w:cstheme="minorHAnsi"/>
        </w:rPr>
        <w:t>on tube.</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Aspirate </w:t>
      </w:r>
      <w:r w:rsidR="00A80229">
        <w:rPr>
          <w:rFonts w:asciiTheme="minorHAnsi" w:hAnsiTheme="minorHAnsi" w:cstheme="minorHAnsi"/>
        </w:rPr>
        <w:t xml:space="preserve">plasma gently via a </w:t>
      </w:r>
      <w:proofErr w:type="spellStart"/>
      <w:r w:rsidR="00A80229">
        <w:rPr>
          <w:rFonts w:asciiTheme="minorHAnsi" w:hAnsiTheme="minorHAnsi" w:cstheme="minorHAnsi"/>
        </w:rPr>
        <w:t>micropipettor</w:t>
      </w:r>
      <w:proofErr w:type="spellEnd"/>
      <w:r w:rsidR="00A80229">
        <w:rPr>
          <w:rFonts w:asciiTheme="minorHAnsi" w:hAnsiTheme="minorHAnsi" w:cstheme="minorHAnsi"/>
        </w:rPr>
        <w:t>, and discard into bleach.</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Fill to </w:t>
      </w:r>
      <w:r w:rsidR="00A80229">
        <w:rPr>
          <w:rFonts w:asciiTheme="minorHAnsi" w:hAnsiTheme="minorHAnsi" w:cstheme="minorHAnsi"/>
        </w:rPr>
        <w:t xml:space="preserve">marked </w:t>
      </w:r>
      <w:r w:rsidRPr="00211B0E">
        <w:rPr>
          <w:rFonts w:asciiTheme="minorHAnsi" w:hAnsiTheme="minorHAnsi" w:cstheme="minorHAnsi"/>
        </w:rPr>
        <w:t>line</w:t>
      </w:r>
      <w:r w:rsidR="00A80229">
        <w:rPr>
          <w:rFonts w:asciiTheme="minorHAnsi" w:hAnsiTheme="minorHAnsi" w:cstheme="minorHAnsi"/>
        </w:rPr>
        <w:t xml:space="preserve"> (original level of plasma)</w:t>
      </w:r>
      <w:r w:rsidRPr="00211B0E">
        <w:rPr>
          <w:rFonts w:asciiTheme="minorHAnsi" w:hAnsiTheme="minorHAnsi" w:cstheme="minorHAnsi"/>
        </w:rPr>
        <w:t xml:space="preserve"> with 150 </w:t>
      </w:r>
      <w:proofErr w:type="spellStart"/>
      <w:r w:rsidRPr="00211B0E">
        <w:rPr>
          <w:rFonts w:asciiTheme="minorHAnsi" w:hAnsiTheme="minorHAnsi" w:cstheme="minorHAnsi"/>
        </w:rPr>
        <w:t>mM</w:t>
      </w:r>
      <w:proofErr w:type="spellEnd"/>
      <w:r w:rsidRPr="00211B0E">
        <w:rPr>
          <w:rFonts w:asciiTheme="minorHAnsi" w:hAnsiTheme="minorHAnsi" w:cstheme="minorHAnsi"/>
        </w:rPr>
        <w:t xml:space="preserve"> </w:t>
      </w:r>
      <w:proofErr w:type="spellStart"/>
      <w:r w:rsidRPr="00211B0E">
        <w:rPr>
          <w:rFonts w:asciiTheme="minorHAnsi" w:hAnsiTheme="minorHAnsi" w:cstheme="minorHAnsi"/>
        </w:rPr>
        <w:t>NaCl</w:t>
      </w:r>
      <w:proofErr w:type="spellEnd"/>
      <w:r w:rsidRPr="00211B0E">
        <w:rPr>
          <w:rFonts w:asciiTheme="minorHAnsi" w:hAnsiTheme="minorHAnsi" w:cstheme="minorHAnsi"/>
        </w:rPr>
        <w:t xml:space="preserve"> solution. Cap and invert a few times to gently mix. Centrifuge at 1500 rpm for 5 minutes.</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Repeat step </w:t>
      </w:r>
      <w:r w:rsidR="00A80229">
        <w:rPr>
          <w:rFonts w:asciiTheme="minorHAnsi" w:hAnsiTheme="minorHAnsi" w:cstheme="minorHAnsi"/>
        </w:rPr>
        <w:t>2.3-2.4 to wash blood cells again. Then</w:t>
      </w:r>
      <w:r w:rsidRPr="00211B0E">
        <w:rPr>
          <w:rFonts w:asciiTheme="minorHAnsi" w:hAnsiTheme="minorHAnsi" w:cstheme="minorHAnsi"/>
        </w:rPr>
        <w:t xml:space="preserve"> aspirate supernatant and replace with PBS </w:t>
      </w:r>
      <w:r w:rsidR="00A80229">
        <w:rPr>
          <w:rFonts w:asciiTheme="minorHAnsi" w:hAnsiTheme="minorHAnsi" w:cstheme="minorHAnsi"/>
        </w:rPr>
        <w:t xml:space="preserve">at </w:t>
      </w:r>
      <w:r w:rsidRPr="00211B0E">
        <w:rPr>
          <w:rFonts w:asciiTheme="minorHAnsi" w:hAnsiTheme="minorHAnsi" w:cstheme="minorHAnsi"/>
        </w:rPr>
        <w:t>pH 7.4. Invert to mix.</w:t>
      </w:r>
    </w:p>
    <w:p w:rsidR="00211B0E" w:rsidRDefault="00A80229" w:rsidP="00571D46">
      <w:pPr>
        <w:pStyle w:val="NormalWeb"/>
        <w:numPr>
          <w:ilvl w:val="0"/>
          <w:numId w:val="5"/>
        </w:numPr>
        <w:spacing w:after="240" w:afterAutospacing="0"/>
        <w:ind w:left="446" w:hanging="446"/>
        <w:rPr>
          <w:rFonts w:asciiTheme="minorHAnsi" w:hAnsiTheme="minorHAnsi" w:cstheme="minorHAnsi"/>
        </w:rPr>
      </w:pPr>
      <w:r>
        <w:rPr>
          <w:rFonts w:asciiTheme="minorHAnsi" w:hAnsiTheme="minorHAnsi" w:cstheme="minorHAnsi"/>
        </w:rPr>
        <w:t>Split blood evenly into four</w:t>
      </w:r>
      <w:r w:rsidR="00571D46" w:rsidRPr="00211B0E">
        <w:rPr>
          <w:rFonts w:asciiTheme="minorHAnsi" w:hAnsiTheme="minorHAnsi" w:cstheme="minorHAnsi"/>
        </w:rPr>
        <w:t xml:space="preserve"> tubes</w:t>
      </w:r>
      <w:r>
        <w:rPr>
          <w:rFonts w:asciiTheme="minorHAnsi" w:hAnsiTheme="minorHAnsi" w:cstheme="minorHAnsi"/>
        </w:rPr>
        <w:t>, corresponding to each pH that will be tested</w:t>
      </w:r>
      <w:r w:rsidR="00571D46" w:rsidRPr="00211B0E">
        <w:rPr>
          <w:rFonts w:asciiTheme="minorHAnsi" w:hAnsiTheme="minorHAnsi" w:cstheme="minorHAnsi"/>
        </w:rPr>
        <w:t>.</w:t>
      </w:r>
      <w:r w:rsidR="00821379">
        <w:rPr>
          <w:rFonts w:asciiTheme="minorHAnsi" w:hAnsiTheme="minorHAnsi" w:cstheme="minorHAnsi"/>
        </w:rPr>
        <w:t xml:space="preserve"> Label the tubes according to each pH to be tested (5.6, 6.2, 6.8, </w:t>
      </w:r>
      <w:proofErr w:type="gramStart"/>
      <w:r w:rsidR="00821379">
        <w:rPr>
          <w:rFonts w:asciiTheme="minorHAnsi" w:hAnsiTheme="minorHAnsi" w:cstheme="minorHAnsi"/>
        </w:rPr>
        <w:t>7.4</w:t>
      </w:r>
      <w:proofErr w:type="gramEnd"/>
      <w:r w:rsidR="00821379">
        <w:rPr>
          <w:rFonts w:asciiTheme="minorHAnsi" w:hAnsiTheme="minorHAnsi" w:cstheme="minorHAnsi"/>
        </w:rPr>
        <w:t>).</w:t>
      </w:r>
    </w:p>
    <w:p w:rsidR="00211B0E" w:rsidRDefault="00A80229" w:rsidP="00571D46">
      <w:pPr>
        <w:pStyle w:val="NormalWeb"/>
        <w:numPr>
          <w:ilvl w:val="0"/>
          <w:numId w:val="5"/>
        </w:numPr>
        <w:spacing w:after="240" w:afterAutospacing="0"/>
        <w:ind w:left="446" w:hanging="446"/>
        <w:rPr>
          <w:rFonts w:asciiTheme="minorHAnsi" w:hAnsiTheme="minorHAnsi" w:cstheme="minorHAnsi"/>
        </w:rPr>
      </w:pPr>
      <w:r>
        <w:rPr>
          <w:rFonts w:asciiTheme="minorHAnsi" w:hAnsiTheme="minorHAnsi" w:cstheme="minorHAnsi"/>
        </w:rPr>
        <w:t>Centrifuge blood tubes at</w:t>
      </w:r>
      <w:r w:rsidR="00571D46" w:rsidRPr="00211B0E">
        <w:rPr>
          <w:rFonts w:asciiTheme="minorHAnsi" w:hAnsiTheme="minorHAnsi" w:cstheme="minorHAnsi"/>
        </w:rPr>
        <w:t xml:space="preserve"> 1500 rpm for 5 minutes. Mark levels on tubes, then aspirate supernatant.</w:t>
      </w:r>
    </w:p>
    <w:p w:rsidR="00211B0E"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Fill</w:t>
      </w:r>
      <w:r w:rsidR="00821379">
        <w:rPr>
          <w:rFonts w:asciiTheme="minorHAnsi" w:hAnsiTheme="minorHAnsi" w:cstheme="minorHAnsi"/>
        </w:rPr>
        <w:t xml:space="preserve"> each tube</w:t>
      </w:r>
      <w:r w:rsidRPr="00211B0E">
        <w:rPr>
          <w:rFonts w:asciiTheme="minorHAnsi" w:hAnsiTheme="minorHAnsi" w:cstheme="minorHAnsi"/>
        </w:rPr>
        <w:t xml:space="preserve"> to</w:t>
      </w:r>
      <w:r w:rsidR="00821379">
        <w:rPr>
          <w:rFonts w:asciiTheme="minorHAnsi" w:hAnsiTheme="minorHAnsi" w:cstheme="minorHAnsi"/>
        </w:rPr>
        <w:t xml:space="preserve"> marked</w:t>
      </w:r>
      <w:r w:rsidRPr="00211B0E">
        <w:rPr>
          <w:rFonts w:asciiTheme="minorHAnsi" w:hAnsiTheme="minorHAnsi" w:cstheme="minorHAnsi"/>
        </w:rPr>
        <w:t xml:space="preserve"> line with buffer of appropriate pH</w:t>
      </w:r>
      <w:r w:rsidR="00821379">
        <w:rPr>
          <w:rFonts w:asciiTheme="minorHAnsi" w:hAnsiTheme="minorHAnsi" w:cstheme="minorHAnsi"/>
        </w:rPr>
        <w:t xml:space="preserve"> (as indicated in 2.6)</w:t>
      </w:r>
      <w:r w:rsidRPr="00211B0E">
        <w:rPr>
          <w:rFonts w:asciiTheme="minorHAnsi" w:hAnsiTheme="minorHAnsi" w:cstheme="minorHAnsi"/>
        </w:rPr>
        <w:t>.</w:t>
      </w:r>
    </w:p>
    <w:p w:rsidR="00571D46" w:rsidRDefault="00571D46" w:rsidP="00571D46">
      <w:pPr>
        <w:pStyle w:val="NormalWeb"/>
        <w:numPr>
          <w:ilvl w:val="0"/>
          <w:numId w:val="5"/>
        </w:numPr>
        <w:spacing w:after="240" w:afterAutospacing="0"/>
        <w:ind w:left="446" w:hanging="446"/>
        <w:rPr>
          <w:rFonts w:asciiTheme="minorHAnsi" w:hAnsiTheme="minorHAnsi" w:cstheme="minorHAnsi"/>
        </w:rPr>
      </w:pPr>
      <w:r w:rsidRPr="00211B0E">
        <w:rPr>
          <w:rFonts w:asciiTheme="minorHAnsi" w:hAnsiTheme="minorHAnsi" w:cstheme="minorHAnsi"/>
        </w:rPr>
        <w:t xml:space="preserve">Label </w:t>
      </w:r>
      <w:r w:rsidR="00821379">
        <w:rPr>
          <w:rFonts w:asciiTheme="minorHAnsi" w:hAnsiTheme="minorHAnsi" w:cstheme="minorHAnsi"/>
        </w:rPr>
        <w:t>four 50 ml conical tubes (one per pH to test), and</w:t>
      </w:r>
      <w:r w:rsidRPr="00211B0E">
        <w:rPr>
          <w:rFonts w:asciiTheme="minorHAnsi" w:hAnsiTheme="minorHAnsi" w:cstheme="minorHAnsi"/>
        </w:rPr>
        <w:t xml:space="preserve"> </w:t>
      </w:r>
      <w:r w:rsidR="00821379">
        <w:rPr>
          <w:rFonts w:asciiTheme="minorHAnsi" w:hAnsiTheme="minorHAnsi" w:cstheme="minorHAnsi"/>
        </w:rPr>
        <w:t>p</w:t>
      </w:r>
      <w:r w:rsidRPr="00211B0E">
        <w:rPr>
          <w:rFonts w:asciiTheme="minorHAnsi" w:hAnsiTheme="minorHAnsi" w:cstheme="minorHAnsi"/>
        </w:rPr>
        <w:t>ipet 49 ml of PBS of appropriate pH into each conical tube.</w:t>
      </w:r>
    </w:p>
    <w:p w:rsidR="00D8366C" w:rsidRDefault="00D8366C" w:rsidP="00D8366C">
      <w:pPr>
        <w:pStyle w:val="ListParagraph"/>
        <w:numPr>
          <w:ilvl w:val="0"/>
          <w:numId w:val="5"/>
        </w:numPr>
        <w:tabs>
          <w:tab w:val="left" w:pos="450"/>
        </w:tabs>
        <w:ind w:hanging="720"/>
        <w:rPr>
          <w:rFonts w:asciiTheme="minorHAnsi" w:hAnsiTheme="minorHAnsi" w:cstheme="minorHAnsi"/>
        </w:rPr>
      </w:pPr>
      <w:r w:rsidRPr="00D8366C">
        <w:rPr>
          <w:rFonts w:asciiTheme="minorHAnsi" w:hAnsiTheme="minorHAnsi" w:cstheme="minorHAnsi"/>
        </w:rPr>
        <w:t xml:space="preserve">Add 1ml of </w:t>
      </w:r>
      <w:r w:rsidR="006909C9">
        <w:rPr>
          <w:rFonts w:asciiTheme="minorHAnsi" w:hAnsiTheme="minorHAnsi" w:cstheme="minorHAnsi"/>
        </w:rPr>
        <w:t>erythrocyte</w:t>
      </w:r>
      <w:r w:rsidRPr="00D8366C">
        <w:rPr>
          <w:rFonts w:asciiTheme="minorHAnsi" w:hAnsiTheme="minorHAnsi" w:cstheme="minorHAnsi"/>
        </w:rPr>
        <w:t xml:space="preserve">s (same pH) into corresponding tube for a 1:50 dilution. Blood should be turbid and will settle upon sitting. If </w:t>
      </w:r>
      <w:r>
        <w:rPr>
          <w:rFonts w:asciiTheme="minorHAnsi" w:hAnsiTheme="minorHAnsi" w:cstheme="minorHAnsi"/>
        </w:rPr>
        <w:t xml:space="preserve">suspension appears </w:t>
      </w:r>
      <w:r w:rsidRPr="00D8366C">
        <w:rPr>
          <w:rFonts w:asciiTheme="minorHAnsi" w:hAnsiTheme="minorHAnsi" w:cstheme="minorHAnsi"/>
        </w:rPr>
        <w:t>clear, cells have lysed.</w:t>
      </w:r>
    </w:p>
    <w:p w:rsidR="00D8366C" w:rsidRPr="00211B0E" w:rsidRDefault="00D8366C" w:rsidP="00D8366C">
      <w:pPr>
        <w:pStyle w:val="NormalWeb"/>
        <w:tabs>
          <w:tab w:val="left" w:pos="360"/>
        </w:tabs>
        <w:ind w:left="360" w:hanging="360"/>
        <w:rPr>
          <w:rFonts w:asciiTheme="minorHAnsi" w:hAnsiTheme="minorHAnsi" w:cstheme="minorHAnsi"/>
          <w:b/>
        </w:rPr>
      </w:pPr>
      <w:r>
        <w:rPr>
          <w:rFonts w:asciiTheme="minorHAnsi" w:hAnsiTheme="minorHAnsi" w:cstheme="minorHAnsi"/>
          <w:b/>
        </w:rPr>
        <w:t>3</w:t>
      </w:r>
      <w:r w:rsidRPr="00211B0E">
        <w:rPr>
          <w:rFonts w:asciiTheme="minorHAnsi" w:hAnsiTheme="minorHAnsi" w:cstheme="minorHAnsi"/>
          <w:b/>
        </w:rPr>
        <w:t xml:space="preserve">) </w:t>
      </w:r>
      <w:r w:rsidRPr="00211B0E">
        <w:rPr>
          <w:rFonts w:asciiTheme="minorHAnsi" w:hAnsiTheme="minorHAnsi" w:cstheme="minorHAnsi"/>
          <w:b/>
        </w:rPr>
        <w:tab/>
      </w:r>
      <w:proofErr w:type="spellStart"/>
      <w:r>
        <w:rPr>
          <w:rFonts w:asciiTheme="minorHAnsi" w:hAnsiTheme="minorHAnsi" w:cstheme="minorHAnsi"/>
          <w:b/>
        </w:rPr>
        <w:t>Lysis</w:t>
      </w:r>
      <w:proofErr w:type="spellEnd"/>
      <w:r>
        <w:rPr>
          <w:rFonts w:asciiTheme="minorHAnsi" w:hAnsiTheme="minorHAnsi" w:cstheme="minorHAnsi"/>
          <w:b/>
        </w:rPr>
        <w:t xml:space="preserve"> Assay Setup and Quantification</w:t>
      </w:r>
    </w:p>
    <w:p w:rsidR="00D8366C" w:rsidRDefault="00D8366C"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Prepare </w:t>
      </w:r>
      <w:r w:rsidR="008866EB">
        <w:rPr>
          <w:rFonts w:asciiTheme="minorHAnsi" w:hAnsiTheme="minorHAnsi" w:cstheme="minorHAnsi"/>
        </w:rPr>
        <w:t xml:space="preserve">multiple stock </w:t>
      </w:r>
      <w:r>
        <w:rPr>
          <w:rFonts w:asciiTheme="minorHAnsi" w:hAnsiTheme="minorHAnsi" w:cstheme="minorHAnsi"/>
        </w:rPr>
        <w:t>solutions of all experimental agents</w:t>
      </w:r>
      <w:r w:rsidR="008866EB">
        <w:rPr>
          <w:rFonts w:asciiTheme="minorHAnsi" w:hAnsiTheme="minorHAnsi" w:cstheme="minorHAnsi"/>
        </w:rPr>
        <w:t>,</w:t>
      </w:r>
      <w:r>
        <w:rPr>
          <w:rFonts w:asciiTheme="minorHAnsi" w:hAnsiTheme="minorHAnsi" w:cstheme="minorHAnsi"/>
        </w:rPr>
        <w:t xml:space="preserve"> at 20x the desired final concentration to be tested (Assay will take 10</w:t>
      </w:r>
      <w:r>
        <w:rPr>
          <w:rFonts w:ascii="Cambria" w:hAnsi="Cambria" w:cstheme="minorHAnsi"/>
        </w:rPr>
        <w:t>μ</w:t>
      </w:r>
      <w:r>
        <w:rPr>
          <w:rFonts w:asciiTheme="minorHAnsi" w:hAnsiTheme="minorHAnsi" w:cstheme="minorHAnsi"/>
        </w:rPr>
        <w:t>L of drug delivery agent + 190</w:t>
      </w:r>
      <w:r>
        <w:rPr>
          <w:rFonts w:ascii="Cambria" w:hAnsi="Cambria" w:cstheme="minorHAnsi"/>
        </w:rPr>
        <w:t>μ</w:t>
      </w:r>
      <w:r>
        <w:rPr>
          <w:rFonts w:asciiTheme="minorHAnsi" w:hAnsiTheme="minorHAnsi" w:cstheme="minorHAnsi"/>
        </w:rPr>
        <w:t xml:space="preserve">L diluted red blood cells, leading to a </w:t>
      </w:r>
      <w:r w:rsidR="00B65EF4">
        <w:rPr>
          <w:rFonts w:asciiTheme="minorHAnsi" w:hAnsiTheme="minorHAnsi" w:cstheme="minorHAnsi"/>
        </w:rPr>
        <w:t xml:space="preserve">1/20 dilution of the original drug delivery agent into the final test mixture). Stocks of 20, </w:t>
      </w:r>
      <w:r w:rsidR="008866EB">
        <w:rPr>
          <w:rFonts w:asciiTheme="minorHAnsi" w:hAnsiTheme="minorHAnsi" w:cstheme="minorHAnsi"/>
        </w:rPr>
        <w:t xml:space="preserve">100, and </w:t>
      </w:r>
      <w:proofErr w:type="gramStart"/>
      <w:r w:rsidR="00B65EF4">
        <w:rPr>
          <w:rFonts w:asciiTheme="minorHAnsi" w:hAnsiTheme="minorHAnsi" w:cstheme="minorHAnsi"/>
        </w:rPr>
        <w:t>800</w:t>
      </w:r>
      <w:r w:rsidR="008866EB">
        <w:rPr>
          <w:rFonts w:asciiTheme="minorHAnsi" w:hAnsiTheme="minorHAnsi" w:cstheme="minorHAnsi"/>
        </w:rPr>
        <w:t xml:space="preserve"> </w:t>
      </w:r>
      <w:proofErr w:type="spellStart"/>
      <w:r w:rsidR="008866EB">
        <w:rPr>
          <w:rFonts w:ascii="Cambria" w:hAnsi="Cambria" w:cstheme="minorHAnsi"/>
        </w:rPr>
        <w:t>μ</w:t>
      </w:r>
      <w:r w:rsidR="008866EB">
        <w:rPr>
          <w:rFonts w:asciiTheme="minorHAnsi" w:hAnsiTheme="minorHAnsi" w:cstheme="minorHAnsi"/>
        </w:rPr>
        <w:t>g</w:t>
      </w:r>
      <w:proofErr w:type="spellEnd"/>
      <w:r w:rsidR="008866EB">
        <w:rPr>
          <w:rFonts w:asciiTheme="minorHAnsi" w:hAnsiTheme="minorHAnsi" w:cstheme="minorHAnsi"/>
        </w:rPr>
        <w:t>/mL</w:t>
      </w:r>
      <w:proofErr w:type="gramEnd"/>
      <w:r w:rsidR="008866EB">
        <w:rPr>
          <w:rFonts w:asciiTheme="minorHAnsi" w:hAnsiTheme="minorHAnsi" w:cstheme="minorHAnsi"/>
        </w:rPr>
        <w:t xml:space="preserve"> are suggested, resulting in final concentrations of 1, 5, and 40 </w:t>
      </w:r>
      <w:proofErr w:type="spellStart"/>
      <w:r w:rsidR="008866EB">
        <w:rPr>
          <w:rFonts w:ascii="Cambria" w:hAnsi="Cambria" w:cstheme="minorHAnsi"/>
        </w:rPr>
        <w:t>μ</w:t>
      </w:r>
      <w:r w:rsidR="008866EB">
        <w:rPr>
          <w:rFonts w:asciiTheme="minorHAnsi" w:hAnsiTheme="minorHAnsi" w:cstheme="minorHAnsi"/>
        </w:rPr>
        <w:t>g</w:t>
      </w:r>
      <w:proofErr w:type="spellEnd"/>
      <w:r w:rsidR="008866EB">
        <w:rPr>
          <w:rFonts w:asciiTheme="minorHAnsi" w:hAnsiTheme="minorHAnsi" w:cstheme="minorHAnsi"/>
        </w:rPr>
        <w:t>/mL, respectively.</w:t>
      </w:r>
    </w:p>
    <w:p w:rsidR="008866EB"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Pipet 10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each concentration of each experimental agent to a round-bottom 96-well plate. For optimal results, load each sample in triplicate or quadruplicate. </w:t>
      </w:r>
    </w:p>
    <w:p w:rsidR="006909C9"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For positive control wells, add 10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20% Triton X-100 to some wells.</w:t>
      </w:r>
    </w:p>
    <w:p w:rsidR="006909C9"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For negative control wells, add 10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D-PBS at pH 7.4 to some wells.</w:t>
      </w:r>
    </w:p>
    <w:p w:rsidR="006909C9" w:rsidRDefault="006909C9" w:rsidP="00D8366C">
      <w:pPr>
        <w:pStyle w:val="NormalWeb"/>
        <w:numPr>
          <w:ilvl w:val="1"/>
          <w:numId w:val="7"/>
        </w:numPr>
        <w:spacing w:after="240" w:afterAutospacing="0"/>
        <w:ind w:left="450" w:hanging="450"/>
        <w:rPr>
          <w:rFonts w:asciiTheme="minorHAnsi" w:hAnsiTheme="minorHAnsi" w:cstheme="minorHAnsi"/>
        </w:rPr>
      </w:pPr>
      <w:r>
        <w:rPr>
          <w:rFonts w:asciiTheme="minorHAnsi" w:hAnsiTheme="minorHAnsi" w:cstheme="minorHAnsi"/>
        </w:rPr>
        <w:t xml:space="preserve">Pipet 190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diluted erythrocytes (see 2.10) to each well. </w:t>
      </w:r>
    </w:p>
    <w:p w:rsidR="0023742E" w:rsidRDefault="006909C9"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lastRenderedPageBreak/>
        <w:t>Incubate plates at 37°C for one hour (optional: Use an orbital shaker).</w:t>
      </w:r>
    </w:p>
    <w:p w:rsidR="0023742E" w:rsidRDefault="0023742E"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t>Centrifuge plates for 5 min at 1500 rpm to pellet intact erythrocytes.</w:t>
      </w:r>
    </w:p>
    <w:p w:rsidR="0023742E" w:rsidRDefault="0023742E"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t xml:space="preserve">Using a multichannel pipet, transfer 100 </w:t>
      </w:r>
      <w:proofErr w:type="spellStart"/>
      <w:r>
        <w:rPr>
          <w:rFonts w:ascii="Cambria" w:hAnsi="Cambria" w:cstheme="minorHAnsi"/>
        </w:rPr>
        <w:t>μ</w:t>
      </w:r>
      <w:r>
        <w:rPr>
          <w:rFonts w:asciiTheme="minorHAnsi" w:hAnsiTheme="minorHAnsi" w:cstheme="minorHAnsi"/>
        </w:rPr>
        <w:t>L</w:t>
      </w:r>
      <w:proofErr w:type="spellEnd"/>
      <w:r>
        <w:rPr>
          <w:rFonts w:asciiTheme="minorHAnsi" w:hAnsiTheme="minorHAnsi" w:cstheme="minorHAnsi"/>
        </w:rPr>
        <w:t xml:space="preserve"> of supernatants to clear, flat-bottomed 96-well assay plates.</w:t>
      </w:r>
    </w:p>
    <w:p w:rsidR="0023742E" w:rsidRDefault="0023742E" w:rsidP="0023742E">
      <w:pPr>
        <w:pStyle w:val="NormalWeb"/>
        <w:numPr>
          <w:ilvl w:val="1"/>
          <w:numId w:val="7"/>
        </w:numPr>
        <w:spacing w:after="240" w:afterAutospacing="0"/>
        <w:ind w:left="446" w:hanging="446"/>
        <w:rPr>
          <w:rFonts w:asciiTheme="minorHAnsi" w:hAnsiTheme="minorHAnsi" w:cstheme="minorHAnsi"/>
        </w:rPr>
      </w:pPr>
      <w:r>
        <w:rPr>
          <w:rFonts w:asciiTheme="minorHAnsi" w:hAnsiTheme="minorHAnsi" w:cstheme="minorHAnsi"/>
        </w:rPr>
        <w:t>Measure absorbance of each well with a plate reader at 450 nm. If blood is too concentrated and high absorbance readings are obtained, plates can also be alternatively read at 541 nm. If blood is too dilute, and low absorbance readings are obtained, plates can also be alternatively read at 405 nm.</w:t>
      </w:r>
    </w:p>
    <w:p w:rsidR="009D577F" w:rsidRDefault="00AB5376" w:rsidP="009D577F">
      <w:pPr>
        <w:pStyle w:val="NormalWeb"/>
        <w:numPr>
          <w:ilvl w:val="1"/>
          <w:numId w:val="7"/>
        </w:numPr>
        <w:spacing w:after="240" w:afterAutospacing="0"/>
        <w:rPr>
          <w:rFonts w:asciiTheme="minorHAnsi" w:hAnsiTheme="minorHAnsi" w:cstheme="minorHAnsi"/>
        </w:rPr>
      </w:pPr>
      <w:r>
        <w:rPr>
          <w:rFonts w:asciiTheme="minorHAnsi" w:hAnsiTheme="minorHAnsi" w:cstheme="minorHAnsi"/>
        </w:rPr>
        <w:t>Using Microsoft Excel or some other plotting software, s</w:t>
      </w:r>
      <w:r w:rsidR="009D577F">
        <w:rPr>
          <w:rFonts w:asciiTheme="minorHAnsi" w:hAnsiTheme="minorHAnsi" w:cstheme="minorHAnsi"/>
        </w:rPr>
        <w:t xml:space="preserve">et absorbance of the negative control sample (step 3.4) to 0% hemolysis, and the absorbance of the positive control sample (step 3.3) to 100% hemolysis. </w:t>
      </w:r>
      <w:r>
        <w:rPr>
          <w:rFonts w:asciiTheme="minorHAnsi" w:hAnsiTheme="minorHAnsi" w:cstheme="minorHAnsi"/>
        </w:rPr>
        <w:t>After setting up a linear regression based on these two data points, u</w:t>
      </w:r>
      <w:r w:rsidR="009D577F">
        <w:rPr>
          <w:rFonts w:asciiTheme="minorHAnsi" w:hAnsiTheme="minorHAnsi" w:cstheme="minorHAnsi"/>
        </w:rPr>
        <w:t>se the resulting formula to calculate % hemolysis of each individual well.</w:t>
      </w:r>
    </w:p>
    <w:p w:rsidR="00AB5376" w:rsidRDefault="00AB5376" w:rsidP="00AB5376">
      <w:pPr>
        <w:pStyle w:val="NormalWeb"/>
        <w:spacing w:after="240" w:afterAutospacing="0"/>
        <w:rPr>
          <w:rFonts w:asciiTheme="minorHAnsi" w:hAnsiTheme="minorHAnsi" w:cstheme="minorHAnsi"/>
        </w:rPr>
      </w:pPr>
    </w:p>
    <w:p w:rsidR="00AB5376" w:rsidRDefault="00EE705F" w:rsidP="00AB5376">
      <w:pPr>
        <w:pStyle w:val="NormalWeb"/>
        <w:rPr>
          <w:rFonts w:ascii="Calibri" w:hAnsi="Calibri"/>
          <w:b/>
          <w:bCs/>
        </w:rPr>
      </w:pPr>
      <w:r w:rsidRPr="00C37843">
        <w:rPr>
          <w:rFonts w:ascii="Calibri" w:hAnsi="Calibri"/>
          <w:b/>
          <w:bCs/>
        </w:rPr>
        <w:t xml:space="preserve">Representative Results: </w:t>
      </w:r>
    </w:p>
    <w:p w:rsidR="00AB5376" w:rsidRDefault="00AB5376" w:rsidP="00AB5376">
      <w:pPr>
        <w:pStyle w:val="NormalWeb"/>
        <w:rPr>
          <w:rFonts w:asciiTheme="minorHAnsi" w:hAnsiTheme="minorHAnsi" w:cstheme="minorHAnsi"/>
        </w:rPr>
      </w:pPr>
      <w:r>
        <w:rPr>
          <w:rFonts w:asciiTheme="minorHAnsi" w:hAnsiTheme="minorHAnsi" w:cstheme="minorHAnsi"/>
        </w:rPr>
        <w:t>Typically, the agents that will correspond to the highest levels of cytosolic delivery of drugs, nucleic acids, or other bioactive molecules will</w:t>
      </w:r>
      <w:r w:rsidR="008C52CD">
        <w:rPr>
          <w:rFonts w:asciiTheme="minorHAnsi" w:hAnsiTheme="minorHAnsi" w:cstheme="minorHAnsi"/>
        </w:rPr>
        <w:t xml:space="preserve"> exhibit</w:t>
      </w:r>
      <w:r>
        <w:rPr>
          <w:rFonts w:asciiTheme="minorHAnsi" w:hAnsiTheme="minorHAnsi" w:cstheme="minorHAnsi"/>
        </w:rPr>
        <w:t xml:space="preserve"> pH-dependent hemolytic behavior. This is exemplified by Agent #1 as portrayed in Figure 2, which exhibits minimal hemolysis at pH 7.4, but a sharp increase in hemolytic behavior at </w:t>
      </w:r>
      <w:proofErr w:type="spellStart"/>
      <w:r>
        <w:rPr>
          <w:rFonts w:asciiTheme="minorHAnsi" w:hAnsiTheme="minorHAnsi" w:cstheme="minorHAnsi"/>
        </w:rPr>
        <w:t>endosomal</w:t>
      </w:r>
      <w:proofErr w:type="spellEnd"/>
      <w:r>
        <w:rPr>
          <w:rFonts w:asciiTheme="minorHAnsi" w:hAnsiTheme="minorHAnsi" w:cstheme="minorHAnsi"/>
        </w:rPr>
        <w:t xml:space="preserve"> pH ranges (&lt; 6.5). Some agents that meet these criteria may exhibit considerable levels of hemolytic behavior at physiological pH ranges (Agent #2 at 40 </w:t>
      </w:r>
      <w:proofErr w:type="spellStart"/>
      <w:r>
        <w:rPr>
          <w:rFonts w:ascii="Cambria" w:hAnsi="Cambria" w:cstheme="minorHAnsi"/>
        </w:rPr>
        <w:t>μ</w:t>
      </w:r>
      <w:r>
        <w:rPr>
          <w:rFonts w:asciiTheme="minorHAnsi" w:hAnsiTheme="minorHAnsi" w:cstheme="minorHAnsi"/>
        </w:rPr>
        <w:t>g</w:t>
      </w:r>
      <w:proofErr w:type="spellEnd"/>
      <w:r>
        <w:rPr>
          <w:rFonts w:asciiTheme="minorHAnsi" w:hAnsiTheme="minorHAnsi" w:cstheme="minorHAnsi"/>
        </w:rPr>
        <w:t xml:space="preserve">/mL; Figure 2), suggesting that these agents may be undesirably toxic before arrival at a desired tissue of interest </w:t>
      </w:r>
      <w:r>
        <w:rPr>
          <w:rFonts w:asciiTheme="minorHAnsi" w:hAnsiTheme="minorHAnsi" w:cstheme="minorHAnsi"/>
          <w:i/>
        </w:rPr>
        <w:t>in vivo</w:t>
      </w:r>
      <w:r>
        <w:rPr>
          <w:rFonts w:asciiTheme="minorHAnsi" w:hAnsiTheme="minorHAnsi" w:cstheme="minorHAnsi"/>
        </w:rPr>
        <w:t>.</w:t>
      </w:r>
    </w:p>
    <w:p w:rsidR="00AB5376" w:rsidRDefault="008C52CD" w:rsidP="00AB5376">
      <w:pPr>
        <w:pStyle w:val="NormalWeb"/>
        <w:rPr>
          <w:rFonts w:asciiTheme="minorHAnsi" w:hAnsiTheme="minorHAnsi" w:cstheme="minorHAnsi"/>
        </w:rPr>
      </w:pPr>
      <w:r>
        <w:rPr>
          <w:rFonts w:asciiTheme="minorHAnsi" w:hAnsiTheme="minorHAnsi" w:cstheme="minorHAnsi"/>
        </w:rPr>
        <w:t>In most cases</w:t>
      </w:r>
      <w:r w:rsidR="00AB5376">
        <w:rPr>
          <w:rFonts w:asciiTheme="minorHAnsi" w:hAnsiTheme="minorHAnsi" w:cstheme="minorHAnsi"/>
        </w:rPr>
        <w:t>, hemolysis is also dose-dependent, as increasing concentrations of the nanoparticles correspond with higher levels of hemolysis, especially at the lower pH ranges tested (5.6 – 6.2).</w:t>
      </w:r>
    </w:p>
    <w:p w:rsidR="00AB5376" w:rsidRDefault="00AB5376" w:rsidP="00EE705F">
      <w:pPr>
        <w:pStyle w:val="NormalWeb"/>
        <w:rPr>
          <w:rFonts w:asciiTheme="minorHAnsi" w:hAnsiTheme="minorHAnsi" w:cstheme="minorHAnsi"/>
        </w:rPr>
      </w:pPr>
      <w:r>
        <w:rPr>
          <w:rFonts w:asciiTheme="minorHAnsi" w:hAnsiTheme="minorHAnsi" w:cstheme="minorHAnsi"/>
        </w:rPr>
        <w:t xml:space="preserve">Some agents, including detergents such as Triton X-100, which is used as a positive control, will be able to destabilize erythrocyte membranes regardless of </w:t>
      </w:r>
      <w:proofErr w:type="spellStart"/>
      <w:r>
        <w:rPr>
          <w:rFonts w:asciiTheme="minorHAnsi" w:hAnsiTheme="minorHAnsi" w:cstheme="minorHAnsi"/>
        </w:rPr>
        <w:t>pH.</w:t>
      </w:r>
      <w:proofErr w:type="spellEnd"/>
      <w:r>
        <w:rPr>
          <w:rFonts w:asciiTheme="minorHAnsi" w:hAnsiTheme="minorHAnsi" w:cstheme="minorHAnsi"/>
        </w:rPr>
        <w:t xml:space="preserve"> The results shown reflect this behavior as well.</w:t>
      </w:r>
    </w:p>
    <w:p w:rsidR="00EE705F" w:rsidRPr="00C37843" w:rsidRDefault="00EE705F" w:rsidP="00EE705F">
      <w:pPr>
        <w:pStyle w:val="NormalWeb"/>
      </w:pPr>
      <w:r w:rsidRPr="00C37843">
        <w:t> </w:t>
      </w:r>
    </w:p>
    <w:p w:rsidR="00EE705F" w:rsidRPr="00C37843" w:rsidRDefault="00C37843" w:rsidP="00EE705F">
      <w:pPr>
        <w:pStyle w:val="NormalWeb"/>
        <w:rPr>
          <w:rFonts w:ascii="Calibri" w:hAnsi="Calibri"/>
          <w:color w:val="FFFFFF" w:themeColor="background1"/>
          <w:u w:val="single"/>
        </w:rPr>
      </w:pPr>
      <w:r w:rsidRPr="00C37843">
        <w:rPr>
          <w:rFonts w:ascii="Calibri" w:hAnsi="Calibri"/>
          <w:b/>
          <w:bCs/>
          <w:u w:val="single"/>
        </w:rPr>
        <w:t>Tables and Figures</w:t>
      </w:r>
    </w:p>
    <w:p w:rsidR="00C37843" w:rsidRDefault="004A241C" w:rsidP="00C37843">
      <w:pPr>
        <w:pStyle w:val="NormalWeb"/>
        <w:keepNext/>
        <w:spacing w:before="0" w:beforeAutospacing="0" w:after="0" w:afterAutospacing="0"/>
      </w:pPr>
      <w:r>
        <w:rPr>
          <w:noProof/>
          <w:lang w:eastAsia="zh-TW"/>
        </w:rPr>
        <w:lastRenderedPageBreak/>
        <w:drawing>
          <wp:inline distT="0" distB="0" distL="0" distR="0">
            <wp:extent cx="5486400" cy="57473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HemolysisSchematic.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86400" cy="5747385"/>
                    </a:xfrm>
                    <a:prstGeom prst="rect">
                      <a:avLst/>
                    </a:prstGeom>
                  </pic:spPr>
                </pic:pic>
              </a:graphicData>
            </a:graphic>
          </wp:inline>
        </w:drawing>
      </w:r>
    </w:p>
    <w:p w:rsidR="00C37843" w:rsidRPr="00AC6CDE" w:rsidRDefault="00C37843" w:rsidP="00C37843">
      <w:pPr>
        <w:pStyle w:val="Caption"/>
        <w:rPr>
          <w:rFonts w:asciiTheme="minorHAnsi" w:hAnsiTheme="minorHAnsi" w:cstheme="minorHAnsi"/>
          <w:b w:val="0"/>
          <w:color w:val="auto"/>
          <w:sz w:val="24"/>
        </w:rPr>
      </w:pPr>
      <w:proofErr w:type="gramStart"/>
      <w:r w:rsidRPr="00AC6CDE">
        <w:rPr>
          <w:rFonts w:asciiTheme="minorHAnsi" w:hAnsiTheme="minorHAnsi" w:cstheme="minorHAnsi"/>
          <w:color w:val="auto"/>
          <w:sz w:val="24"/>
        </w:rPr>
        <w:t xml:space="preserve">Figure </w:t>
      </w:r>
      <w:r w:rsidRPr="00AC6CDE">
        <w:rPr>
          <w:rFonts w:asciiTheme="minorHAnsi" w:hAnsiTheme="minorHAnsi" w:cstheme="minorHAnsi"/>
          <w:color w:val="auto"/>
          <w:sz w:val="24"/>
        </w:rPr>
        <w:fldChar w:fldCharType="begin"/>
      </w:r>
      <w:r w:rsidRPr="00AC6CDE">
        <w:rPr>
          <w:rFonts w:asciiTheme="minorHAnsi" w:hAnsiTheme="minorHAnsi" w:cstheme="minorHAnsi"/>
          <w:color w:val="auto"/>
          <w:sz w:val="24"/>
        </w:rPr>
        <w:instrText xml:space="preserve"> SEQ Figure \* ARABIC </w:instrText>
      </w:r>
      <w:r w:rsidRPr="00AC6CDE">
        <w:rPr>
          <w:rFonts w:asciiTheme="minorHAnsi" w:hAnsiTheme="minorHAnsi" w:cstheme="minorHAnsi"/>
          <w:color w:val="auto"/>
          <w:sz w:val="24"/>
        </w:rPr>
        <w:fldChar w:fldCharType="separate"/>
      </w:r>
      <w:r w:rsidR="00775897">
        <w:rPr>
          <w:rFonts w:asciiTheme="minorHAnsi" w:hAnsiTheme="minorHAnsi" w:cstheme="minorHAnsi"/>
          <w:noProof/>
          <w:color w:val="auto"/>
          <w:sz w:val="24"/>
        </w:rPr>
        <w:t>1</w:t>
      </w:r>
      <w:r w:rsidRPr="00AC6CDE">
        <w:rPr>
          <w:rFonts w:asciiTheme="minorHAnsi" w:hAnsiTheme="minorHAnsi" w:cstheme="minorHAnsi"/>
          <w:color w:val="auto"/>
          <w:sz w:val="24"/>
        </w:rPr>
        <w:fldChar w:fldCharType="end"/>
      </w:r>
      <w:r w:rsidRPr="00AC6CDE">
        <w:rPr>
          <w:rFonts w:asciiTheme="minorHAnsi" w:hAnsiTheme="minorHAnsi" w:cstheme="minorHAnsi"/>
          <w:color w:val="auto"/>
          <w:sz w:val="24"/>
        </w:rPr>
        <w:t>.</w:t>
      </w:r>
      <w:proofErr w:type="gramEnd"/>
      <w:r w:rsidRPr="00AC6CDE">
        <w:rPr>
          <w:rFonts w:asciiTheme="minorHAnsi" w:hAnsiTheme="minorHAnsi" w:cstheme="minorHAnsi"/>
          <w:color w:val="auto"/>
          <w:sz w:val="24"/>
        </w:rPr>
        <w:t xml:space="preserve"> </w:t>
      </w:r>
      <w:proofErr w:type="gramStart"/>
      <w:r>
        <w:rPr>
          <w:rFonts w:asciiTheme="minorHAnsi" w:hAnsiTheme="minorHAnsi" w:cstheme="minorHAnsi"/>
          <w:color w:val="auto"/>
          <w:sz w:val="24"/>
        </w:rPr>
        <w:t>Schematic Diagram of Red Blood Cell Hemolysis Assay</w:t>
      </w:r>
      <w:r w:rsidRPr="00AC6CDE">
        <w:rPr>
          <w:rFonts w:asciiTheme="minorHAnsi" w:hAnsiTheme="minorHAnsi" w:cstheme="minorHAnsi"/>
          <w:color w:val="auto"/>
          <w:sz w:val="24"/>
        </w:rPr>
        <w:t>.</w:t>
      </w:r>
      <w:proofErr w:type="gramEnd"/>
      <w:r>
        <w:rPr>
          <w:rFonts w:asciiTheme="minorHAnsi" w:hAnsiTheme="minorHAnsi" w:cstheme="minorHAnsi"/>
          <w:b w:val="0"/>
          <w:color w:val="auto"/>
          <w:sz w:val="24"/>
        </w:rPr>
        <w:t xml:space="preserve"> Human erythrocytes are isolated and incubated with experimental drug delivery agents in a series of buffers simulating the pH range from physiologic (7.4) to late endosomes (5.6). The optimal drug delivery agents most likely to interact with late endosomes for cytosolic drug delivery will likely not interact with the erythrocytes at physiologic </w:t>
      </w:r>
      <w:proofErr w:type="spellStart"/>
      <w:r>
        <w:rPr>
          <w:rFonts w:asciiTheme="minorHAnsi" w:hAnsiTheme="minorHAnsi" w:cstheme="minorHAnsi"/>
          <w:b w:val="0"/>
          <w:color w:val="auto"/>
          <w:sz w:val="24"/>
        </w:rPr>
        <w:t>pH.</w:t>
      </w:r>
      <w:proofErr w:type="spellEnd"/>
      <w:r>
        <w:rPr>
          <w:rFonts w:asciiTheme="minorHAnsi" w:hAnsiTheme="minorHAnsi" w:cstheme="minorHAnsi"/>
          <w:b w:val="0"/>
          <w:color w:val="auto"/>
          <w:sz w:val="24"/>
        </w:rPr>
        <w:t xml:space="preserve"> However, at lower pH ranges, the agents are capable of destabilizing phospholipid membranes. The release of hemoglobin into the surrounding medium is measured via a plate reader.</w:t>
      </w:r>
    </w:p>
    <w:p w:rsidR="00C27A8C" w:rsidRPr="00C27A8C" w:rsidRDefault="00C27A8C" w:rsidP="00EE705F">
      <w:pPr>
        <w:pStyle w:val="NormalWeb"/>
        <w:rPr>
          <w:highlight w:val="yellow"/>
        </w:rPr>
      </w:pPr>
      <w:r>
        <w:rPr>
          <w:noProof/>
          <w:lang w:eastAsia="zh-TW"/>
        </w:rPr>
        <w:lastRenderedPageBreak/>
        <w:drawing>
          <wp:inline distT="0" distB="0" distL="0" distR="0">
            <wp:extent cx="5476875" cy="2847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RepresentativeData.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90072" cy="2854838"/>
                    </a:xfrm>
                    <a:prstGeom prst="rect">
                      <a:avLst/>
                    </a:prstGeom>
                  </pic:spPr>
                </pic:pic>
              </a:graphicData>
            </a:graphic>
          </wp:inline>
        </w:drawing>
      </w:r>
      <w:r>
        <w:rPr>
          <w:highlight w:val="yellow"/>
        </w:rPr>
        <w:br/>
      </w:r>
      <w:proofErr w:type="gramStart"/>
      <w:r w:rsidRPr="00C27A8C">
        <w:rPr>
          <w:rFonts w:asciiTheme="minorHAnsi" w:hAnsiTheme="minorHAnsi" w:cstheme="minorHAnsi"/>
          <w:b/>
        </w:rPr>
        <w:t>Figure 2.</w:t>
      </w:r>
      <w:proofErr w:type="gramEnd"/>
      <w:r w:rsidRPr="00C27A8C">
        <w:rPr>
          <w:rFonts w:asciiTheme="minorHAnsi" w:hAnsiTheme="minorHAnsi" w:cstheme="minorHAnsi"/>
          <w:b/>
        </w:rPr>
        <w:t xml:space="preserve"> </w:t>
      </w:r>
      <w:proofErr w:type="gramStart"/>
      <w:r w:rsidRPr="00C27A8C">
        <w:rPr>
          <w:rFonts w:asciiTheme="minorHAnsi" w:hAnsiTheme="minorHAnsi" w:cstheme="minorHAnsi"/>
          <w:b/>
        </w:rPr>
        <w:t>Representative Results of a Hemolysis Assay Demonstrating Behavior of Two Experimental Transfection Agents.</w:t>
      </w:r>
      <w:proofErr w:type="gramEnd"/>
      <w:r>
        <w:rPr>
          <w:rFonts w:asciiTheme="minorHAnsi" w:hAnsiTheme="minorHAnsi" w:cstheme="minorHAnsi"/>
        </w:rPr>
        <w:t xml:space="preserve"> A</w:t>
      </w:r>
      <w:r>
        <w:rPr>
          <w:rFonts w:asciiTheme="minorHAnsi" w:hAnsiTheme="minorHAnsi" w:cstheme="minorHAnsi"/>
          <w:vertAlign w:val="subscript"/>
        </w:rPr>
        <w:t>450</w:t>
      </w:r>
      <w:r>
        <w:rPr>
          <w:rFonts w:asciiTheme="minorHAnsi" w:hAnsiTheme="minorHAnsi" w:cstheme="minorHAnsi"/>
        </w:rPr>
        <w:t xml:space="preserve"> of the buffer incubated with untreated erythrocytes is set to 0% hemolysis, while A</w:t>
      </w:r>
      <w:r>
        <w:rPr>
          <w:rFonts w:asciiTheme="minorHAnsi" w:hAnsiTheme="minorHAnsi" w:cstheme="minorHAnsi"/>
          <w:vertAlign w:val="subscript"/>
        </w:rPr>
        <w:t>450</w:t>
      </w:r>
      <w:r>
        <w:rPr>
          <w:rFonts w:asciiTheme="minorHAnsi" w:hAnsiTheme="minorHAnsi" w:cstheme="minorHAnsi"/>
        </w:rPr>
        <w:t xml:space="preserve"> of buffer collected from Triton X-100-treated erythrocytes is set to 100% hemolysis. Based on these control samples, the ability of experimental transfection agents to lyse erythrocytes can be calculated. Typical agents exhibit dose-dependent hemolytic behavior, as well as pH-dependent hemolytic behavior. Ideal agents (such as Agent #1) exhibit minimal hemolysis at pH 7.4, but a sharp increase in hemolytic behavior at </w:t>
      </w:r>
      <w:proofErr w:type="spellStart"/>
      <w:r>
        <w:rPr>
          <w:rFonts w:asciiTheme="minorHAnsi" w:hAnsiTheme="minorHAnsi" w:cstheme="minorHAnsi"/>
        </w:rPr>
        <w:t>endosomal</w:t>
      </w:r>
      <w:proofErr w:type="spellEnd"/>
      <w:r>
        <w:rPr>
          <w:rFonts w:asciiTheme="minorHAnsi" w:hAnsiTheme="minorHAnsi" w:cstheme="minorHAnsi"/>
        </w:rPr>
        <w:t xml:space="preserve"> pH ranges (&lt; 6.5). Some agents meet these criteria, yet exhibit substantial hemolytic behavior at physiological pH ranges (Agent #2 at 40 </w:t>
      </w:r>
      <w:proofErr w:type="spellStart"/>
      <w:r>
        <w:rPr>
          <w:rFonts w:ascii="Cambria" w:hAnsi="Cambria" w:cstheme="minorHAnsi"/>
        </w:rPr>
        <w:t>μ</w:t>
      </w:r>
      <w:r>
        <w:rPr>
          <w:rFonts w:asciiTheme="minorHAnsi" w:hAnsiTheme="minorHAnsi" w:cstheme="minorHAnsi"/>
        </w:rPr>
        <w:t>g</w:t>
      </w:r>
      <w:proofErr w:type="spellEnd"/>
      <w:r>
        <w:rPr>
          <w:rFonts w:asciiTheme="minorHAnsi" w:hAnsiTheme="minorHAnsi" w:cstheme="minorHAnsi"/>
        </w:rPr>
        <w:t xml:space="preserve">/mL), suggesting that these agents may be undesirably cytotoxic prior to arrival in </w:t>
      </w:r>
      <w:proofErr w:type="spellStart"/>
      <w:r>
        <w:rPr>
          <w:rFonts w:asciiTheme="minorHAnsi" w:hAnsiTheme="minorHAnsi" w:cstheme="minorHAnsi"/>
        </w:rPr>
        <w:t>endosomal</w:t>
      </w:r>
      <w:proofErr w:type="spellEnd"/>
      <w:r>
        <w:rPr>
          <w:rFonts w:asciiTheme="minorHAnsi" w:hAnsiTheme="minorHAnsi" w:cstheme="minorHAnsi"/>
        </w:rPr>
        <w:t xml:space="preserve"> compartments. Error bars indicate standard deviation of 4 independent measurements.</w:t>
      </w:r>
    </w:p>
    <w:p w:rsidR="00D64434" w:rsidRDefault="00D64434" w:rsidP="00EE705F">
      <w:pPr>
        <w:pStyle w:val="NormalWeb"/>
        <w:rPr>
          <w:rFonts w:ascii="Calibri" w:hAnsi="Calibri"/>
          <w:b/>
          <w:bCs/>
        </w:rPr>
      </w:pPr>
    </w:p>
    <w:p w:rsidR="00D64434" w:rsidRDefault="00EE705F" w:rsidP="00EE705F">
      <w:pPr>
        <w:pStyle w:val="NormalWeb"/>
        <w:rPr>
          <w:rFonts w:ascii="Calibri" w:hAnsi="Calibri"/>
          <w:b/>
          <w:bCs/>
        </w:rPr>
      </w:pPr>
      <w:r w:rsidRPr="00D64434">
        <w:rPr>
          <w:rFonts w:ascii="Calibri" w:hAnsi="Calibri"/>
          <w:b/>
          <w:bCs/>
        </w:rPr>
        <w:t>Discussion:</w:t>
      </w:r>
    </w:p>
    <w:p w:rsidR="00D45C46" w:rsidRDefault="005B6C26" w:rsidP="00EE705F">
      <w:pPr>
        <w:pStyle w:val="NormalWeb"/>
        <w:rPr>
          <w:rFonts w:ascii="Calibri" w:hAnsi="Calibri"/>
        </w:rPr>
      </w:pPr>
      <w:r w:rsidRPr="005B6C26">
        <w:rPr>
          <w:rFonts w:ascii="Calibri" w:hAnsi="Calibri"/>
        </w:rPr>
        <w:tab/>
        <w:t>The pH-responsive, membrane destabilizing activity of polymeric drug delivery systems can be tested using hemolysis assays</w:t>
      </w:r>
      <w:r w:rsidR="00D45C46">
        <w:rPr>
          <w:rFonts w:ascii="Calibri" w:hAnsi="Calibri"/>
        </w:rPr>
        <w:t>. This is</w:t>
      </w:r>
      <w:r w:rsidRPr="005B6C26">
        <w:rPr>
          <w:rFonts w:ascii="Calibri" w:hAnsi="Calibri"/>
        </w:rPr>
        <w:t xml:space="preserve"> an effective first screen </w:t>
      </w:r>
      <w:r w:rsidR="008C52CD">
        <w:rPr>
          <w:rFonts w:ascii="Calibri" w:hAnsi="Calibri"/>
        </w:rPr>
        <w:t>to gauge</w:t>
      </w:r>
      <w:r w:rsidRPr="005B6C26">
        <w:rPr>
          <w:rFonts w:ascii="Calibri" w:hAnsi="Calibri"/>
        </w:rPr>
        <w:t xml:space="preserve"> the ability of polymer</w:t>
      </w:r>
      <w:r w:rsidR="00D45C46">
        <w:rPr>
          <w:rFonts w:ascii="Calibri" w:hAnsi="Calibri"/>
        </w:rPr>
        <w:t>ic</w:t>
      </w:r>
      <w:r w:rsidRPr="005B6C26">
        <w:rPr>
          <w:rFonts w:ascii="Calibri" w:hAnsi="Calibri"/>
        </w:rPr>
        <w:t xml:space="preserve"> drug carriers to mediate intracellular drug delivery based on their pH-dependent membrane interactions. </w:t>
      </w:r>
      <w:r w:rsidR="00D45C46">
        <w:rPr>
          <w:rFonts w:ascii="Calibri" w:hAnsi="Calibri"/>
        </w:rPr>
        <w:t>As described here</w:t>
      </w:r>
      <w:r w:rsidRPr="005B6C26">
        <w:rPr>
          <w:rFonts w:ascii="Calibri" w:hAnsi="Calibri"/>
        </w:rPr>
        <w:t xml:space="preserve">, red blood cells are treated with polymers in buffered solutions with different pH values that model the environments found in the </w:t>
      </w:r>
      <w:proofErr w:type="spellStart"/>
      <w:r w:rsidRPr="005B6C26">
        <w:rPr>
          <w:rFonts w:ascii="Calibri" w:hAnsi="Calibri"/>
        </w:rPr>
        <w:t>endosomal</w:t>
      </w:r>
      <w:proofErr w:type="spellEnd"/>
      <w:r w:rsidRPr="005B6C26">
        <w:rPr>
          <w:rFonts w:ascii="Calibri" w:hAnsi="Calibri"/>
        </w:rPr>
        <w:t xml:space="preserve"> pathway</w:t>
      </w:r>
      <w:r w:rsidR="00D45C46">
        <w:rPr>
          <w:rFonts w:ascii="Calibri" w:hAnsi="Calibri"/>
        </w:rPr>
        <w:t xml:space="preserve"> (Figure 1)</w:t>
      </w:r>
      <w:r w:rsidR="008C52CD">
        <w:rPr>
          <w:rFonts w:ascii="Calibri" w:hAnsi="Calibri"/>
        </w:rPr>
        <w:t>. If the polymers are membrane-</w:t>
      </w:r>
      <w:r w:rsidRPr="005B6C26">
        <w:rPr>
          <w:rFonts w:ascii="Calibri" w:hAnsi="Calibri"/>
        </w:rPr>
        <w:t>disruptive</w:t>
      </w:r>
      <w:r w:rsidR="00D45C46">
        <w:rPr>
          <w:rFonts w:ascii="Calibri" w:hAnsi="Calibri"/>
        </w:rPr>
        <w:t>, they will lyse</w:t>
      </w:r>
      <w:r w:rsidRPr="005B6C26">
        <w:rPr>
          <w:rFonts w:ascii="Calibri" w:hAnsi="Calibri"/>
        </w:rPr>
        <w:t xml:space="preserve"> red blood cells at </w:t>
      </w:r>
      <w:r w:rsidR="008C52CD">
        <w:rPr>
          <w:rFonts w:ascii="Calibri" w:hAnsi="Calibri"/>
        </w:rPr>
        <w:t xml:space="preserve">the pH tested. Minimal erythrocyte </w:t>
      </w:r>
      <w:proofErr w:type="spellStart"/>
      <w:r w:rsidR="008C52CD">
        <w:rPr>
          <w:rFonts w:ascii="Calibri" w:hAnsi="Calibri"/>
        </w:rPr>
        <w:t>lysis</w:t>
      </w:r>
      <w:proofErr w:type="spellEnd"/>
      <w:r w:rsidR="008C52CD">
        <w:rPr>
          <w:rFonts w:ascii="Calibri" w:hAnsi="Calibri"/>
        </w:rPr>
        <w:t xml:space="preserve"> is desired at physiological pH, but elevated </w:t>
      </w:r>
      <w:proofErr w:type="spellStart"/>
      <w:r w:rsidR="008C52CD">
        <w:rPr>
          <w:rFonts w:ascii="Calibri" w:hAnsi="Calibri"/>
        </w:rPr>
        <w:t>lysis</w:t>
      </w:r>
      <w:proofErr w:type="spellEnd"/>
      <w:r w:rsidR="008C52CD">
        <w:rPr>
          <w:rFonts w:ascii="Calibri" w:hAnsi="Calibri"/>
        </w:rPr>
        <w:t xml:space="preserve"> is desired at pH &lt; 6.5. When these criteria are met</w:t>
      </w:r>
      <w:r w:rsidRPr="005B6C26">
        <w:rPr>
          <w:rFonts w:ascii="Calibri" w:hAnsi="Calibri"/>
        </w:rPr>
        <w:t xml:space="preserve">, </w:t>
      </w:r>
      <w:r w:rsidR="008C52CD">
        <w:rPr>
          <w:rFonts w:ascii="Calibri" w:hAnsi="Calibri"/>
        </w:rPr>
        <w:t>the polymers will likely be able</w:t>
      </w:r>
      <w:r w:rsidR="00D45C46">
        <w:rPr>
          <w:rFonts w:ascii="Calibri" w:hAnsi="Calibri"/>
        </w:rPr>
        <w:t xml:space="preserve"> to</w:t>
      </w:r>
      <w:r w:rsidRPr="005B6C26">
        <w:rPr>
          <w:rFonts w:ascii="Calibri" w:hAnsi="Calibri"/>
        </w:rPr>
        <w:t xml:space="preserve"> </w:t>
      </w:r>
      <w:r w:rsidR="00D45C46">
        <w:rPr>
          <w:rFonts w:ascii="Calibri" w:hAnsi="Calibri"/>
        </w:rPr>
        <w:t xml:space="preserve">mediate </w:t>
      </w:r>
      <w:r w:rsidR="008C52CD">
        <w:rPr>
          <w:rFonts w:ascii="Calibri" w:hAnsi="Calibri"/>
        </w:rPr>
        <w:t xml:space="preserve">the </w:t>
      </w:r>
      <w:r w:rsidR="00D45C46">
        <w:rPr>
          <w:rFonts w:ascii="Calibri" w:hAnsi="Calibri"/>
        </w:rPr>
        <w:t xml:space="preserve">escape </w:t>
      </w:r>
      <w:r w:rsidR="008C52CD">
        <w:rPr>
          <w:rFonts w:ascii="Calibri" w:hAnsi="Calibri"/>
        </w:rPr>
        <w:t xml:space="preserve">of their payload </w:t>
      </w:r>
      <w:r w:rsidR="00D45C46">
        <w:rPr>
          <w:rFonts w:ascii="Calibri" w:hAnsi="Calibri"/>
        </w:rPr>
        <w:t>from</w:t>
      </w:r>
      <w:r w:rsidRPr="005B6C26">
        <w:rPr>
          <w:rFonts w:ascii="Calibri" w:hAnsi="Calibri"/>
        </w:rPr>
        <w:t xml:space="preserve"> </w:t>
      </w:r>
      <w:proofErr w:type="spellStart"/>
      <w:r w:rsidRPr="005B6C26">
        <w:rPr>
          <w:rFonts w:ascii="Calibri" w:hAnsi="Calibri"/>
        </w:rPr>
        <w:t>endosomal</w:t>
      </w:r>
      <w:proofErr w:type="spellEnd"/>
      <w:r w:rsidRPr="005B6C26">
        <w:rPr>
          <w:rFonts w:ascii="Calibri" w:hAnsi="Calibri"/>
        </w:rPr>
        <w:t xml:space="preserve"> vesicles</w:t>
      </w:r>
      <w:r w:rsidR="008C52CD">
        <w:rPr>
          <w:rFonts w:ascii="Calibri" w:hAnsi="Calibri"/>
        </w:rPr>
        <w:t>, effectively achieving</w:t>
      </w:r>
      <w:r w:rsidRPr="005B6C26">
        <w:rPr>
          <w:rFonts w:ascii="Calibri" w:hAnsi="Calibri"/>
        </w:rPr>
        <w:t xml:space="preserve"> </w:t>
      </w:r>
      <w:r w:rsidR="008C52CD">
        <w:rPr>
          <w:rFonts w:ascii="Calibri" w:hAnsi="Calibri"/>
        </w:rPr>
        <w:t>cytosolic drug delivery</w:t>
      </w:r>
      <w:r w:rsidRPr="005B6C26">
        <w:rPr>
          <w:rFonts w:ascii="Calibri" w:hAnsi="Calibri"/>
        </w:rPr>
        <w:t xml:space="preserve">. </w:t>
      </w:r>
    </w:p>
    <w:p w:rsidR="00877627" w:rsidRDefault="008C52CD" w:rsidP="00D45C46">
      <w:pPr>
        <w:pStyle w:val="NormalWeb"/>
        <w:ind w:firstLine="720"/>
        <w:rPr>
          <w:rFonts w:ascii="Calibri" w:hAnsi="Calibri"/>
        </w:rPr>
      </w:pPr>
      <w:r>
        <w:rPr>
          <w:rFonts w:ascii="Calibri" w:hAnsi="Calibri"/>
        </w:rPr>
        <w:lastRenderedPageBreak/>
        <w:t>In previous studies, results from hemolysis assays have corresponded well with a polymer’s performance as an intracellular drug delivery vehicle</w:t>
      </w:r>
      <w:r w:rsidR="005B6C26" w:rsidRPr="005B6C26">
        <w:rPr>
          <w:rFonts w:ascii="Calibri" w:hAnsi="Calibri"/>
        </w:rPr>
        <w:t>.</w:t>
      </w:r>
      <w:r w:rsidR="00D45C46">
        <w:rPr>
          <w:rFonts w:ascii="Calibri" w:hAnsi="Calibri"/>
        </w:rPr>
        <w:fldChar w:fldCharType="begin">
          <w:fldData xml:space="preserve">PEVuZE5vdGU+PENpdGU+PEF1dGhvcj5Db252ZXJ0aW5lPC9BdXRob3I+PFllYXI+MjAwOTwvWWVh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</w:fldData>
        </w:fldChar>
      </w:r>
      <w:r w:rsidR="00F847A6">
        <w:rPr>
          <w:rFonts w:ascii="Calibri" w:hAnsi="Calibri"/>
        </w:rPr>
        <w:instrText xml:space="preserve"> ADDIN EN.CITE </w:instrText>
      </w:r>
      <w:r w:rsidR="00F847A6">
        <w:rPr>
          <w:rFonts w:ascii="Calibri" w:hAnsi="Calibri"/>
        </w:rPr>
        <w:fldChar w:fldCharType="begin">
          <w:fldData xml:space="preserve">PEVuZE5vdGU+PENpdGU+PEF1dGhvcj5Db252ZXJ0aW5lPC9BdXRob3I+PFllYXI+MjAwOTwvWWVh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</w:fldData>
        </w:fldChar>
      </w:r>
      <w:r w:rsidR="00F847A6">
        <w:rPr>
          <w:rFonts w:ascii="Calibri" w:hAnsi="Calibri"/>
        </w:rPr>
        <w:instrText xml:space="preserve"> ADDIN EN.CITE.DATA </w:instrText>
      </w:r>
      <w:r w:rsidR="00F847A6">
        <w:rPr>
          <w:rFonts w:ascii="Calibri" w:hAnsi="Calibri"/>
        </w:rPr>
      </w:r>
      <w:r w:rsidR="00F847A6">
        <w:rPr>
          <w:rFonts w:ascii="Calibri" w:hAnsi="Calibri"/>
        </w:rPr>
        <w:fldChar w:fldCharType="end"/>
      </w:r>
      <w:r w:rsidR="00D45C46">
        <w:rPr>
          <w:rFonts w:ascii="Calibri" w:hAnsi="Calibri"/>
        </w:rPr>
      </w:r>
      <w:r w:rsidR="00D45C46">
        <w:rPr>
          <w:rFonts w:ascii="Calibri" w:hAnsi="Calibri"/>
        </w:rPr>
        <w:fldChar w:fldCharType="separate"/>
      </w:r>
      <w:hyperlink w:anchor="_ENREF_2" w:tooltip="Convertine, 2009 #4459" w:history="1">
        <w:r w:rsidR="001B0A75" w:rsidRPr="00F847A6">
          <w:rPr>
            <w:rFonts w:ascii="Calibri" w:hAnsi="Calibri"/>
            <w:noProof/>
            <w:vertAlign w:val="superscript"/>
          </w:rPr>
          <w:t>2-4</w:t>
        </w:r>
      </w:hyperlink>
      <w:r w:rsidR="00F847A6" w:rsidRPr="00F847A6">
        <w:rPr>
          <w:rFonts w:ascii="Calibri" w:hAnsi="Calibri"/>
          <w:noProof/>
          <w:vertAlign w:val="superscript"/>
        </w:rPr>
        <w:t xml:space="preserve">, </w:t>
      </w:r>
      <w:hyperlink w:anchor="_ENREF_7" w:tooltip="Convertine, 2010 #4879" w:history="1">
        <w:r w:rsidR="001B0A75" w:rsidRPr="00F847A6">
          <w:rPr>
            <w:rFonts w:ascii="Calibri" w:hAnsi="Calibri"/>
            <w:noProof/>
            <w:vertAlign w:val="superscript"/>
          </w:rPr>
          <w:t>7</w:t>
        </w:r>
      </w:hyperlink>
      <w:r w:rsidR="00D45C46">
        <w:rPr>
          <w:rFonts w:ascii="Calibri" w:hAnsi="Calibri"/>
        </w:rPr>
        <w:fldChar w:fldCharType="end"/>
      </w:r>
      <w:r w:rsidR="005B6C26" w:rsidRPr="005B6C26">
        <w:rPr>
          <w:rFonts w:ascii="Calibri" w:hAnsi="Calibri"/>
        </w:rPr>
        <w:t xml:space="preserve"> Th</w:t>
      </w:r>
      <w:r>
        <w:rPr>
          <w:rFonts w:ascii="Calibri" w:hAnsi="Calibri"/>
        </w:rPr>
        <w:t xml:space="preserve">e use of this assay can also provide </w:t>
      </w:r>
      <w:r w:rsidR="002B1295">
        <w:rPr>
          <w:rFonts w:ascii="Calibri" w:hAnsi="Calibri"/>
        </w:rPr>
        <w:t xml:space="preserve">information on the mechanism through which a drug delivery vehicle can mediate </w:t>
      </w:r>
      <w:proofErr w:type="spellStart"/>
      <w:r w:rsidR="002B1295">
        <w:rPr>
          <w:rFonts w:ascii="Calibri" w:hAnsi="Calibri"/>
        </w:rPr>
        <w:t>endosomal</w:t>
      </w:r>
      <w:proofErr w:type="spellEnd"/>
      <w:r w:rsidR="002B1295">
        <w:rPr>
          <w:rFonts w:ascii="Calibri" w:hAnsi="Calibri"/>
        </w:rPr>
        <w:t xml:space="preserve"> escape</w:t>
      </w:r>
      <w:r w:rsidR="005B6C26" w:rsidRPr="005B6C26">
        <w:rPr>
          <w:rFonts w:ascii="Calibri" w:hAnsi="Calibri"/>
        </w:rPr>
        <w:t>.</w:t>
      </w:r>
      <w:r w:rsidR="002B1295">
        <w:rPr>
          <w:rFonts w:ascii="Calibri" w:hAnsi="Calibri"/>
        </w:rPr>
        <w:t xml:space="preserve"> For example, gene delivery vehicles based on </w:t>
      </w:r>
      <w:proofErr w:type="spellStart"/>
      <w:r w:rsidR="002B1295">
        <w:rPr>
          <w:rFonts w:ascii="Calibri" w:hAnsi="Calibri"/>
        </w:rPr>
        <w:t>polyethyleneimine</w:t>
      </w:r>
      <w:proofErr w:type="spellEnd"/>
      <w:r w:rsidR="002B1295">
        <w:rPr>
          <w:rFonts w:ascii="Calibri" w:hAnsi="Calibri"/>
        </w:rPr>
        <w:t xml:space="preserve"> (PEI) </w:t>
      </w:r>
      <w:r w:rsidR="00F33F99">
        <w:rPr>
          <w:rFonts w:ascii="Calibri" w:hAnsi="Calibri"/>
        </w:rPr>
        <w:t>lack an</w:t>
      </w:r>
      <w:r w:rsidR="002B1295">
        <w:rPr>
          <w:rFonts w:ascii="Calibri" w:hAnsi="Calibri"/>
        </w:rPr>
        <w:t xml:space="preserve"> in</w:t>
      </w:r>
      <w:r w:rsidR="00F33F99">
        <w:rPr>
          <w:rFonts w:ascii="Calibri" w:hAnsi="Calibri"/>
        </w:rPr>
        <w:t>herent</w:t>
      </w:r>
      <w:r w:rsidR="002B1295">
        <w:rPr>
          <w:rFonts w:ascii="Calibri" w:hAnsi="Calibri"/>
        </w:rPr>
        <w:t xml:space="preserve"> ability to disrupt phospholipid membranes at neutral or acidic </w:t>
      </w:r>
      <w:proofErr w:type="gramStart"/>
      <w:r w:rsidR="002B1295">
        <w:rPr>
          <w:rFonts w:ascii="Calibri" w:hAnsi="Calibri"/>
        </w:rPr>
        <w:t>pH’s</w:t>
      </w:r>
      <w:proofErr w:type="gramEnd"/>
      <w:r w:rsidR="002B1295">
        <w:rPr>
          <w:rFonts w:ascii="Calibri" w:hAnsi="Calibri"/>
        </w:rPr>
        <w:t>.</w:t>
      </w:r>
      <w:r w:rsidR="00F33F99">
        <w:rPr>
          <w:rFonts w:ascii="Calibri" w:hAnsi="Calibri"/>
        </w:rPr>
        <w:fldChar w:fldCharType="begin">
          <w:fldData xml:space="preserve">PEVuZE5vdGU+PENpdGU+PEF1dGhvcj5CZWhyPC9BdXRob3I+PFllYXI+MTk5NzwvWWVhcj48UmVj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</w:fldData>
        </w:fldChar>
      </w:r>
      <w:r w:rsidR="00F33F99">
        <w:rPr>
          <w:rFonts w:ascii="Calibri" w:hAnsi="Calibri"/>
        </w:rPr>
        <w:instrText xml:space="preserve"> ADDIN EN.CITE </w:instrText>
      </w:r>
      <w:r w:rsidR="00F33F99">
        <w:rPr>
          <w:rFonts w:ascii="Calibri" w:hAnsi="Calibri"/>
        </w:rPr>
        <w:fldChar w:fldCharType="begin">
          <w:fldData xml:space="preserve">PEVuZE5vdGU+PENpdGU+PEF1dGhvcj5CZWhyPC9BdXRob3I+PFllYXI+MTk5NzwvWWVhcj48UmVj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</w:fldData>
        </w:fldChar>
      </w:r>
      <w:r w:rsidR="00F33F99">
        <w:rPr>
          <w:rFonts w:ascii="Calibri" w:hAnsi="Calibri"/>
        </w:rPr>
        <w:instrText xml:space="preserve"> ADDIN EN.CITE.DATA </w:instrText>
      </w:r>
      <w:r w:rsidR="00F33F99">
        <w:rPr>
          <w:rFonts w:ascii="Calibri" w:hAnsi="Calibri"/>
        </w:rPr>
      </w:r>
      <w:r w:rsidR="00F33F99">
        <w:rPr>
          <w:rFonts w:ascii="Calibri" w:hAnsi="Calibri"/>
        </w:rPr>
        <w:fldChar w:fldCharType="end"/>
      </w:r>
      <w:r w:rsidR="00F33F99">
        <w:rPr>
          <w:rFonts w:ascii="Calibri" w:hAnsi="Calibri"/>
        </w:rPr>
      </w:r>
      <w:r w:rsidR="00F33F99">
        <w:rPr>
          <w:rFonts w:ascii="Calibri" w:hAnsi="Calibri"/>
        </w:rPr>
        <w:fldChar w:fldCharType="separate"/>
      </w:r>
      <w:hyperlink w:anchor="_ENREF_6" w:tooltip="Kichler, 2001 #5135" w:history="1">
        <w:r w:rsidR="001B0A75" w:rsidRPr="00F33F99">
          <w:rPr>
            <w:rFonts w:ascii="Calibri" w:hAnsi="Calibri"/>
            <w:noProof/>
            <w:vertAlign w:val="superscript"/>
          </w:rPr>
          <w:t>6</w:t>
        </w:r>
      </w:hyperlink>
      <w:r w:rsidR="00F33F99" w:rsidRPr="00F33F99">
        <w:rPr>
          <w:rFonts w:ascii="Calibri" w:hAnsi="Calibri"/>
          <w:noProof/>
          <w:vertAlign w:val="superscript"/>
        </w:rPr>
        <w:t xml:space="preserve">, </w:t>
      </w:r>
      <w:hyperlink w:anchor="_ENREF_8" w:tooltip="Behr, 1997 #5136" w:history="1">
        <w:r w:rsidR="001B0A75" w:rsidRPr="00F33F99">
          <w:rPr>
            <w:rFonts w:ascii="Calibri" w:hAnsi="Calibri"/>
            <w:noProof/>
            <w:vertAlign w:val="superscript"/>
          </w:rPr>
          <w:t>8</w:t>
        </w:r>
      </w:hyperlink>
      <w:r w:rsidR="00F33F99">
        <w:rPr>
          <w:rFonts w:ascii="Calibri" w:hAnsi="Calibri"/>
        </w:rPr>
        <w:fldChar w:fldCharType="end"/>
      </w:r>
      <w:hyperlink w:anchor="_ENREF_6" w:tooltip="Kichler, 2001 #5135" w:history="1"/>
      <w:r w:rsidR="002B1295">
        <w:rPr>
          <w:rFonts w:ascii="Calibri" w:hAnsi="Calibri"/>
        </w:rPr>
        <w:t xml:space="preserve"> Instead, PEI achieves cytosolic gene delivery through a ‘proton sponge’ effect. After the internalization of PEI, it serves as a buffer in the endosome, soaking up acids introduced by the action of proton pumps on the </w:t>
      </w:r>
      <w:proofErr w:type="spellStart"/>
      <w:r w:rsidR="002B1295">
        <w:rPr>
          <w:rFonts w:ascii="Calibri" w:hAnsi="Calibri"/>
        </w:rPr>
        <w:t>endosomal</w:t>
      </w:r>
      <w:proofErr w:type="spellEnd"/>
      <w:r w:rsidR="002B1295">
        <w:rPr>
          <w:rFonts w:ascii="Calibri" w:hAnsi="Calibri"/>
        </w:rPr>
        <w:t xml:space="preserve"> membrane. Eventually, the buildup of ions inside the endosome results in a rise in osmotic pressure, leading to </w:t>
      </w:r>
      <w:proofErr w:type="spellStart"/>
      <w:r w:rsidR="002B1295">
        <w:rPr>
          <w:rFonts w:ascii="Calibri" w:hAnsi="Calibri"/>
        </w:rPr>
        <w:t>endosomolysis</w:t>
      </w:r>
      <w:proofErr w:type="spellEnd"/>
      <w:r w:rsidR="002B1295">
        <w:rPr>
          <w:rFonts w:ascii="Calibri" w:hAnsi="Calibri"/>
        </w:rPr>
        <w:t>. Therefore, the</w:t>
      </w:r>
      <w:r w:rsidR="00F33F99">
        <w:rPr>
          <w:rFonts w:ascii="Calibri" w:hAnsi="Calibri"/>
        </w:rPr>
        <w:t xml:space="preserve"> success of</w:t>
      </w:r>
      <w:r w:rsidR="002B1295">
        <w:rPr>
          <w:rFonts w:ascii="Calibri" w:hAnsi="Calibri"/>
        </w:rPr>
        <w:t xml:space="preserve"> proton sponge effect </w:t>
      </w:r>
      <w:r w:rsidR="00F33F99">
        <w:rPr>
          <w:rFonts w:ascii="Calibri" w:hAnsi="Calibri"/>
        </w:rPr>
        <w:t>necessitates the incorporation of</w:t>
      </w:r>
      <w:r w:rsidR="002B1295">
        <w:rPr>
          <w:rFonts w:ascii="Calibri" w:hAnsi="Calibri"/>
        </w:rPr>
        <w:t xml:space="preserve"> a critical co</w:t>
      </w:r>
      <w:r w:rsidR="00F33F99">
        <w:rPr>
          <w:rFonts w:ascii="Calibri" w:hAnsi="Calibri"/>
        </w:rPr>
        <w:t>ncentration of PEI into an</w:t>
      </w:r>
      <w:r w:rsidR="002B1295">
        <w:rPr>
          <w:rFonts w:ascii="Calibri" w:hAnsi="Calibri"/>
        </w:rPr>
        <w:t xml:space="preserve"> endosome</w:t>
      </w:r>
      <w:r w:rsidR="00F33F99">
        <w:rPr>
          <w:rFonts w:ascii="Calibri" w:hAnsi="Calibri"/>
        </w:rPr>
        <w:t>.</w:t>
      </w:r>
      <w:hyperlink w:anchor="_ENREF_8" w:tooltip="Behr, 1997 #5136" w:history="1">
        <w:r w:rsidR="001B0A75">
          <w:rPr>
            <w:rFonts w:ascii="Calibri" w:hAnsi="Calibri"/>
          </w:rPr>
          <w:fldChar w:fldCharType="begin"/>
        </w:r>
        <w:r w:rsidR="001B0A75">
          <w:rPr>
            <w:rFonts w:ascii="Calibri" w:hAnsi="Calibri"/>
          </w:rPr>
          <w:instrText xml:space="preserve"> ADDIN EN.CITE &lt;EndNote&gt;&lt;Cite&gt;&lt;Author&gt;Behr&lt;/Author&gt;&lt;Year&gt;1997&lt;/Year&gt;&lt;RecNum&gt;5136&lt;/RecNum&gt;&lt;DisplayText&gt;&lt;style face="superscript"&gt;8&lt;/style&gt;&lt;/DisplayText&gt;&lt;record&gt;&lt;rec-number&gt;5136&lt;/rec-number&gt;&lt;foreign-keys&gt;&lt;key app="EN" db-id="t0z9paptzsv9spetsptpevzoxva2epa2vvzx"&gt;5136&lt;/key&gt;&lt;/foreign-keys&gt;&lt;ref-type name="Journal Article"&gt;17&lt;/ref-type&gt;&lt;contributors&gt;&lt;authors&gt;&lt;author&gt;Behr, Jean-Paul&lt;/author&gt;&lt;/authors&gt;&lt;/contributors&gt;&lt;titles&gt;&lt;title&gt;The Proton Sponge: a Trick to Enter Cells the Viruses Did Not Exploit&lt;/title&gt;&lt;secondary-title&gt;CHIMIA International Journal for Chemistry&lt;/secondary-title&gt;&lt;/titles&gt;&lt;periodical&gt;&lt;full-title&gt;CHIMIA International Journal for Chemistry&lt;/full-title&gt;&lt;/periodical&gt;&lt;pages&gt;34-36&lt;/pages&gt;&lt;volume&gt;51&lt;/volume&gt;&lt;number&gt;1-2&lt;/number&gt;&lt;dates&gt;&lt;year&gt;1997&lt;/year&gt;&lt;/dates&gt;&lt;urls&gt;&lt;related-urls&gt;&lt;url&gt;http://www.ingentaconnect.com/content/scs/chimia/1997/00000051/F0020001/art00026&lt;/url&gt;&lt;/related-urls&gt;&lt;/urls&gt;&lt;/record&gt;&lt;/Cite&gt;&lt;/EndNote&gt;</w:instrText>
        </w:r>
        <w:r w:rsidR="001B0A75">
          <w:rPr>
            <w:rFonts w:ascii="Calibri" w:hAnsi="Calibri"/>
          </w:rPr>
          <w:fldChar w:fldCharType="separate"/>
        </w:r>
        <w:r w:rsidR="001B0A75" w:rsidRPr="00F33F99">
          <w:rPr>
            <w:rFonts w:ascii="Calibri" w:hAnsi="Calibri"/>
            <w:noProof/>
            <w:vertAlign w:val="superscript"/>
          </w:rPr>
          <w:t>8</w:t>
        </w:r>
        <w:r w:rsidR="001B0A75">
          <w:rPr>
            <w:rFonts w:ascii="Calibri" w:hAnsi="Calibri"/>
          </w:rPr>
          <w:fldChar w:fldCharType="end"/>
        </w:r>
      </w:hyperlink>
      <w:r w:rsidR="00F33F99">
        <w:rPr>
          <w:rFonts w:ascii="Calibri" w:hAnsi="Calibri"/>
        </w:rPr>
        <w:t xml:space="preserve"> </w:t>
      </w:r>
    </w:p>
    <w:p w:rsidR="005B6C26" w:rsidRDefault="00877627" w:rsidP="00D45C46">
      <w:pPr>
        <w:pStyle w:val="NormalWeb"/>
        <w:ind w:firstLine="720"/>
        <w:rPr>
          <w:rFonts w:ascii="Calibri" w:hAnsi="Calibri"/>
        </w:rPr>
      </w:pPr>
      <w:r>
        <w:rPr>
          <w:rFonts w:ascii="Calibri" w:hAnsi="Calibri"/>
        </w:rPr>
        <w:t xml:space="preserve">The other two known, major physicochemical methods of mediating </w:t>
      </w:r>
      <w:proofErr w:type="spellStart"/>
      <w:r>
        <w:rPr>
          <w:rFonts w:ascii="Calibri" w:hAnsi="Calibri"/>
        </w:rPr>
        <w:t>endosomal</w:t>
      </w:r>
      <w:proofErr w:type="spellEnd"/>
      <w:r>
        <w:rPr>
          <w:rFonts w:ascii="Calibri" w:hAnsi="Calibri"/>
        </w:rPr>
        <w:t xml:space="preserve"> escape destabilize the phospholipid bilayer through the use of ‘</w:t>
      </w:r>
      <w:proofErr w:type="spellStart"/>
      <w:r>
        <w:rPr>
          <w:rFonts w:ascii="Calibri" w:hAnsi="Calibri"/>
        </w:rPr>
        <w:t>fusogenic</w:t>
      </w:r>
      <w:proofErr w:type="spellEnd"/>
      <w:r>
        <w:rPr>
          <w:rFonts w:ascii="Calibri" w:hAnsi="Calibri"/>
        </w:rPr>
        <w:t>’ peptides or proteins (mediate membrane fusion), or the introduction of pores.</w:t>
      </w:r>
      <w:hyperlink w:anchor="_ENREF_9" w:tooltip="Varkouhi, 2011 #5137" w:history="1">
        <w:r w:rsidR="001B0A75">
          <w:rPr>
            <w:rFonts w:ascii="Calibri" w:hAnsi="Calibri"/>
          </w:rPr>
          <w:fldChar w:fldCharType="begin"/>
        </w:r>
        <w:r w:rsidR="001B0A75">
          <w:rPr>
            <w:rFonts w:ascii="Calibri" w:hAnsi="Calibri"/>
          </w:rPr>
          <w:instrText xml:space="preserve"> ADDIN EN.CITE &lt;EndNote&gt;&lt;Cite&gt;&lt;Author&gt;Varkouhi&lt;/Author&gt;&lt;Year&gt;2011&lt;/Year&gt;&lt;RecNum&gt;5137&lt;/RecNum&gt;&lt;DisplayText&gt;&lt;style face="superscript"&gt;9&lt;/style&gt;&lt;/DisplayText&gt;&lt;record&gt;&lt;rec-number&gt;5137&lt;/rec-number&gt;&lt;foreign-keys&gt;&lt;key app="EN" db-id="t0z9paptzsv9spetsptpevzoxva2epa2vvzx"&gt;5137&lt;/key&gt;&lt;/foreign-keys&gt;&lt;ref-type name="Journal Article"&gt;17&lt;/ref-type&gt;&lt;contributors&gt;&lt;authors&gt;&lt;author&gt;Varkouhi, Amir K.&lt;/author&gt;&lt;author&gt;Scholte, Marije&lt;/author&gt;&lt;author&gt;Storm, Gert&lt;/author&gt;&lt;author&gt;Haisma, Hidde J.&lt;/author&gt;&lt;/authors&gt;&lt;/contributors&gt;&lt;titles&gt;&lt;title&gt;Endosomal escape pathways for delivery of biologicals&lt;/title&gt;&lt;secondary-title&gt;Journal of Controlled Release&lt;/secondary-title&gt;&lt;/titles&gt;&lt;periodical&gt;&lt;full-title&gt;Journal of Controlled Release&lt;/full-title&gt;&lt;/periodical&gt;&lt;pages&gt;220-228&lt;/pages&gt;&lt;volume&gt;151&lt;/volume&gt;&lt;number&gt;3&lt;/number&gt;&lt;keywords&gt;&lt;keyword&gt;Endosomal escape&lt;/keyword&gt;&lt;keyword&gt;Cytosolic delivery&lt;/keyword&gt;&lt;keyword&gt;Protein&lt;/keyword&gt;&lt;keyword&gt;Gene&lt;/keyword&gt;&lt;keyword&gt;siRNA&lt;/keyword&gt;&lt;/keywords&gt;&lt;dates&gt;&lt;year&gt;2011&lt;/year&gt;&lt;/dates&gt;&lt;isbn&gt;0168-3659&lt;/isbn&gt;&lt;urls&gt;&lt;related-urls&gt;&lt;url&gt;http://www.sciencedirect.com/science/article/pii/S0168365910009053&lt;/url&gt;&lt;/related-urls&gt;&lt;/urls&gt;&lt;electronic-resource-num&gt;10.1016/j.jconrel.2010.11.004&lt;/electronic-resource-num&gt;&lt;/record&gt;&lt;/Cite&gt;&lt;/EndNote&gt;</w:instrText>
        </w:r>
        <w:r w:rsidR="001B0A75">
          <w:rPr>
            <w:rFonts w:ascii="Calibri" w:hAnsi="Calibri"/>
          </w:rPr>
          <w:fldChar w:fldCharType="separate"/>
        </w:r>
        <w:r w:rsidR="001B0A75" w:rsidRPr="00877627">
          <w:rPr>
            <w:rFonts w:ascii="Calibri" w:hAnsi="Calibri"/>
            <w:noProof/>
            <w:vertAlign w:val="superscript"/>
          </w:rPr>
          <w:t>9</w:t>
        </w:r>
        <w:r w:rsidR="001B0A75">
          <w:rPr>
            <w:rFonts w:ascii="Calibri" w:hAnsi="Calibri"/>
          </w:rPr>
          <w:fldChar w:fldCharType="end"/>
        </w:r>
      </w:hyperlink>
      <w:r>
        <w:rPr>
          <w:rFonts w:ascii="Calibri" w:hAnsi="Calibri"/>
        </w:rPr>
        <w:t xml:space="preserve"> Drug delivery vehicles that mediate </w:t>
      </w:r>
      <w:proofErr w:type="spellStart"/>
      <w:r>
        <w:rPr>
          <w:rFonts w:ascii="Calibri" w:hAnsi="Calibri"/>
        </w:rPr>
        <w:t>endosomal</w:t>
      </w:r>
      <w:proofErr w:type="spellEnd"/>
      <w:r>
        <w:rPr>
          <w:rFonts w:ascii="Calibri" w:hAnsi="Calibri"/>
        </w:rPr>
        <w:t xml:space="preserve"> escape through either of these mechanisms have been shown to lyse erythrocytes, </w:t>
      </w:r>
      <w:r w:rsidR="001B0A75">
        <w:rPr>
          <w:rFonts w:ascii="Calibri" w:hAnsi="Calibri"/>
        </w:rPr>
        <w:t>sometimes</w:t>
      </w:r>
      <w:r>
        <w:rPr>
          <w:rFonts w:ascii="Calibri" w:hAnsi="Calibri"/>
        </w:rPr>
        <w:t xml:space="preserve"> in a pH-dependent fashion.</w:t>
      </w:r>
      <w:r>
        <w:rPr>
          <w:rFonts w:ascii="Calibri" w:hAnsi="Calibri"/>
        </w:rPr>
        <w:fldChar w:fldCharType="begin">
          <w:fldData xml:space="preserve">PEVuZE5vdGU+PENpdGU+PEF1dGhvcj5QbGFuazwvQXV0aG9yPjxZZWFyPjE5OTQ8L1llYXI+PFJl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</w:fldData>
        </w:fldChar>
      </w:r>
      <w:r w:rsidR="001B0A75">
        <w:rPr>
          <w:rFonts w:ascii="Calibri" w:hAnsi="Calibri"/>
        </w:rPr>
        <w:instrText xml:space="preserve"> ADDIN EN.CITE </w:instrText>
      </w:r>
      <w:r w:rsidR="001B0A75">
        <w:rPr>
          <w:rFonts w:ascii="Calibri" w:hAnsi="Calibri"/>
        </w:rPr>
        <w:fldChar w:fldCharType="begin">
          <w:fldData xml:space="preserve">PEVuZE5vdGU+PENpdGU+PEF1dGhvcj5QbGFuazwvQXV0aG9yPjxZZWFyPjE5OTQ8L1llYXI+PFJl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</w:fldData>
        </w:fldChar>
      </w:r>
      <w:r w:rsidR="001B0A75">
        <w:rPr>
          <w:rFonts w:ascii="Calibri" w:hAnsi="Calibri"/>
        </w:rPr>
        <w:instrText xml:space="preserve"> ADDIN EN.CITE.DATA </w:instrText>
      </w:r>
      <w:r w:rsidR="001B0A75">
        <w:rPr>
          <w:rFonts w:ascii="Calibri" w:hAnsi="Calibri"/>
        </w:rPr>
      </w:r>
      <w:r w:rsidR="001B0A75">
        <w:rPr>
          <w:rFonts w:ascii="Calibri" w:hAnsi="Calibri"/>
        </w:rPr>
        <w:fldChar w:fldCharType="end"/>
      </w:r>
      <w:r>
        <w:rPr>
          <w:rFonts w:ascii="Calibri" w:hAnsi="Calibri"/>
        </w:rPr>
      </w:r>
      <w:r>
        <w:rPr>
          <w:rFonts w:ascii="Calibri" w:hAnsi="Calibri"/>
        </w:rPr>
        <w:fldChar w:fldCharType="separate"/>
      </w:r>
      <w:hyperlink w:anchor="_ENREF_4" w:tooltip="Plank, 1994 #5117" w:history="1">
        <w:r w:rsidR="001B0A75" w:rsidRPr="001B0A75">
          <w:rPr>
            <w:rFonts w:ascii="Calibri" w:hAnsi="Calibri"/>
            <w:noProof/>
            <w:vertAlign w:val="superscript"/>
          </w:rPr>
          <w:t>4</w:t>
        </w:r>
      </w:hyperlink>
      <w:r w:rsidR="001B0A75" w:rsidRPr="001B0A75">
        <w:rPr>
          <w:rFonts w:ascii="Calibri" w:hAnsi="Calibri"/>
          <w:noProof/>
          <w:vertAlign w:val="superscript"/>
        </w:rPr>
        <w:t xml:space="preserve">, </w:t>
      </w:r>
      <w:hyperlink w:anchor="_ENREF_10" w:tooltip="Ratner, 2006 #5138" w:history="1">
        <w:r w:rsidR="001B0A75" w:rsidRPr="001B0A75">
          <w:rPr>
            <w:rFonts w:ascii="Calibri" w:hAnsi="Calibri"/>
            <w:noProof/>
            <w:vertAlign w:val="superscript"/>
          </w:rPr>
          <w:t>10</w:t>
        </w:r>
      </w:hyperlink>
      <w:r>
        <w:rPr>
          <w:rFonts w:ascii="Calibri" w:hAnsi="Calibri"/>
        </w:rPr>
        <w:fldChar w:fldCharType="end"/>
      </w:r>
    </w:p>
    <w:p w:rsidR="001B0A75" w:rsidRPr="005B6C26" w:rsidRDefault="001B0A75" w:rsidP="00D45C46">
      <w:pPr>
        <w:pStyle w:val="NormalWeb"/>
        <w:ind w:firstLine="720"/>
      </w:pPr>
      <w:r>
        <w:rPr>
          <w:rFonts w:ascii="Calibri" w:hAnsi="Calibri"/>
        </w:rPr>
        <w:t xml:space="preserve">In conclusion, the assay described here is a reliable model of the interactions between exogenous substances and the </w:t>
      </w:r>
      <w:proofErr w:type="spellStart"/>
      <w:r>
        <w:rPr>
          <w:rFonts w:ascii="Calibri" w:hAnsi="Calibri"/>
        </w:rPr>
        <w:t>endosomal</w:t>
      </w:r>
      <w:proofErr w:type="spellEnd"/>
      <w:r>
        <w:rPr>
          <w:rFonts w:ascii="Calibri" w:hAnsi="Calibri"/>
        </w:rPr>
        <w:t xml:space="preserve"> membrane. Because of the lack of confounding factors that may be present when using immortalized cell lines, this assay provides a high throughput means of drug delivery vehicle screening, enabling the rapid development of formulations that deliver biologics to interface with intracellular targets.</w:t>
      </w:r>
    </w:p>
    <w:p w:rsidR="00EE705F" w:rsidRDefault="00EE705F" w:rsidP="00EE705F">
      <w:pPr>
        <w:pStyle w:val="NormalWeb"/>
      </w:pPr>
      <w:r w:rsidRPr="00325771">
        <w:rPr>
          <w:rFonts w:ascii="Calibri" w:hAnsi="Calibri"/>
          <w:b/>
          <w:bCs/>
        </w:rPr>
        <w:t>Acknowledgments:</w:t>
      </w:r>
      <w:r w:rsidRPr="00325771">
        <w:rPr>
          <w:rFonts w:ascii="Calibri" w:hAnsi="Calibri"/>
        </w:rPr>
        <w:t xml:space="preserve"> </w:t>
      </w:r>
      <w:r w:rsidR="00325771" w:rsidRPr="00325771">
        <w:rPr>
          <w:rFonts w:ascii="Calibri" w:hAnsi="Calibri"/>
        </w:rPr>
        <w:t>The authors acknowledge funding through the Department of Defense Congressionally Directed Medical Research Programs (#W81XWH-10-1-0445) and American Heart Association (#11SDG4890030).</w:t>
      </w:r>
      <w:r w:rsidR="00325771">
        <w:rPr>
          <w:rFonts w:ascii="Calibri" w:hAnsi="Calibri"/>
        </w:rPr>
        <w:t xml:space="preserve"> </w:t>
      </w:r>
    </w:p>
    <w:p w:rsidR="00F43E81" w:rsidRDefault="00EE705F" w:rsidP="00EE705F">
      <w:pPr>
        <w:pStyle w:val="NormalWeb"/>
        <w:rPr>
          <w:rFonts w:ascii="Calibri" w:hAnsi="Calibri"/>
        </w:rPr>
      </w:pPr>
      <w:r>
        <w:rPr>
          <w:rFonts w:ascii="Calibri" w:hAnsi="Calibri"/>
          <w:b/>
          <w:bCs/>
        </w:rPr>
        <w:t>Disclosures:</w:t>
      </w:r>
      <w:r>
        <w:rPr>
          <w:rFonts w:ascii="Calibri" w:hAnsi="Calibri"/>
        </w:rPr>
        <w:t xml:space="preserve"> </w:t>
      </w:r>
      <w:r w:rsidR="00F43E81">
        <w:rPr>
          <w:rFonts w:ascii="Calibri" w:hAnsi="Calibri"/>
        </w:rPr>
        <w:t>I</w:t>
      </w:r>
      <w:r w:rsidR="00F43E81" w:rsidRPr="00F43E81">
        <w:rPr>
          <w:rFonts w:ascii="Calibri" w:hAnsi="Calibri"/>
        </w:rPr>
        <w:t>RB approval: Procedures involving human subjects have been approved by the</w:t>
      </w:r>
      <w:r w:rsidR="00F43E81">
        <w:rPr>
          <w:rFonts w:ascii="Calibri" w:hAnsi="Calibri"/>
        </w:rPr>
        <w:t xml:space="preserve"> Vanderbilt University</w:t>
      </w:r>
      <w:r w:rsidR="00F43E81" w:rsidRPr="00F43E81">
        <w:rPr>
          <w:rFonts w:ascii="Calibri" w:hAnsi="Calibri"/>
        </w:rPr>
        <w:t xml:space="preserve"> Institut</w:t>
      </w:r>
      <w:r w:rsidR="00F43E81">
        <w:rPr>
          <w:rFonts w:ascii="Calibri" w:hAnsi="Calibri"/>
        </w:rPr>
        <w:t>ional Review Board (IRB; Protocol #111251)</w:t>
      </w:r>
      <w:r w:rsidR="00F43E81" w:rsidRPr="00F43E81">
        <w:rPr>
          <w:rFonts w:ascii="Calibri" w:hAnsi="Calibri"/>
        </w:rPr>
        <w:t>. No conflicts of interest declared.</w:t>
      </w:r>
    </w:p>
    <w:p w:rsidR="00EE705F" w:rsidRDefault="00EE705F" w:rsidP="00EE705F">
      <w:pPr>
        <w:pStyle w:val="NormalWeb"/>
      </w:pPr>
      <w:r>
        <w:rPr>
          <w:rFonts w:ascii="Calibri" w:hAnsi="Calibri"/>
          <w:b/>
          <w:bCs/>
        </w:rPr>
        <w:t>Table of specific reagents and equipment:</w:t>
      </w:r>
    </w:p>
    <w:tbl>
      <w:tblPr>
        <w:tblW w:w="8670" w:type="dxa"/>
        <w:tblCellSpacing w:w="0" w:type="dxa"/>
        <w:tblBorders>
          <w:top w:val="outset" w:sz="12" w:space="0" w:color="auto"/>
          <w:left w:val="outset" w:sz="12" w:space="0" w:color="auto"/>
          <w:bottom w:val="outset" w:sz="12" w:space="0" w:color="auto"/>
          <w:right w:val="outset" w:sz="12" w:space="0" w:color="auto"/>
        </w:tblBorders>
        <w:tblCellMar>
          <w:top w:w="15" w:type="dxa"/>
          <w:left w:w="15" w:type="dxa"/>
          <w:bottom w:w="15" w:type="dxa"/>
          <w:right w:w="15" w:type="dxa"/>
        </w:tblCellMar>
        <w:tblLook w:val="0000" w:firstRow="0" w:lastRow="0" w:firstColumn="0" w:lastColumn="0" w:noHBand="0" w:noVBand="0"/>
      </w:tblPr>
      <w:tblGrid>
        <w:gridCol w:w="2730"/>
        <w:gridCol w:w="1800"/>
        <w:gridCol w:w="1350"/>
        <w:gridCol w:w="2790"/>
      </w:tblGrid>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EE705F" w:rsidRDefault="00EE705F">
            <w:bookmarkStart w:id="1" w:name="0.2_table01"/>
            <w:bookmarkEnd w:id="1"/>
            <w:r>
              <w:rPr>
                <w:rFonts w:ascii="Calibri" w:hAnsi="Calibri"/>
                <w:b/>
                <w:bCs/>
              </w:rPr>
              <w:t>Name of the reagent</w:t>
            </w:r>
          </w:p>
        </w:tc>
        <w:tc>
          <w:tcPr>
            <w:tcW w:w="1800" w:type="dxa"/>
            <w:tcBorders>
              <w:top w:val="outset" w:sz="6" w:space="0" w:color="auto"/>
              <w:left w:val="outset" w:sz="6" w:space="0" w:color="auto"/>
              <w:bottom w:val="outset" w:sz="6" w:space="0" w:color="auto"/>
              <w:right w:val="outset" w:sz="6" w:space="0" w:color="auto"/>
            </w:tcBorders>
          </w:tcPr>
          <w:p w:rsidR="00EE705F" w:rsidRDefault="00EE705F">
            <w:r>
              <w:rPr>
                <w:rFonts w:ascii="Calibri" w:hAnsi="Calibri"/>
                <w:b/>
                <w:bCs/>
              </w:rPr>
              <w:t>Company</w:t>
            </w:r>
          </w:p>
        </w:tc>
        <w:tc>
          <w:tcPr>
            <w:tcW w:w="1350" w:type="dxa"/>
            <w:tcBorders>
              <w:top w:val="outset" w:sz="6" w:space="0" w:color="auto"/>
              <w:left w:val="outset" w:sz="6" w:space="0" w:color="auto"/>
              <w:bottom w:val="outset" w:sz="6" w:space="0" w:color="auto"/>
              <w:right w:val="outset" w:sz="6" w:space="0" w:color="auto"/>
            </w:tcBorders>
          </w:tcPr>
          <w:p w:rsidR="00EE705F" w:rsidRDefault="00EE705F">
            <w:r>
              <w:rPr>
                <w:rFonts w:ascii="Calibri" w:hAnsi="Calibri"/>
                <w:b/>
                <w:bCs/>
              </w:rPr>
              <w:t>Catalogue number</w:t>
            </w:r>
          </w:p>
        </w:tc>
        <w:tc>
          <w:tcPr>
            <w:tcW w:w="2790" w:type="dxa"/>
            <w:tcBorders>
              <w:top w:val="outset" w:sz="6" w:space="0" w:color="auto"/>
              <w:left w:val="outset" w:sz="6" w:space="0" w:color="auto"/>
              <w:bottom w:val="outset" w:sz="6" w:space="0" w:color="auto"/>
              <w:right w:val="outset" w:sz="6" w:space="0" w:color="auto"/>
            </w:tcBorders>
          </w:tcPr>
          <w:p w:rsidR="00EE705F" w:rsidRDefault="00EE705F">
            <w:r>
              <w:rPr>
                <w:rFonts w:ascii="Calibri" w:hAnsi="Calibri"/>
                <w:b/>
                <w:bCs/>
              </w:rPr>
              <w:t>Comments (optional)</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EE705F" w:rsidRDefault="00201417">
            <w:r>
              <w:rPr>
                <w:rFonts w:ascii="Calibri" w:hAnsi="Calibri"/>
              </w:rPr>
              <w:t xml:space="preserve">BD </w:t>
            </w:r>
            <w:proofErr w:type="spellStart"/>
            <w:r>
              <w:rPr>
                <w:rFonts w:ascii="Calibri" w:hAnsi="Calibri"/>
              </w:rPr>
              <w:t>Vacutainer</w:t>
            </w:r>
            <w:proofErr w:type="spellEnd"/>
            <w:r>
              <w:rPr>
                <w:rFonts w:ascii="Calibri" w:hAnsi="Calibri"/>
              </w:rPr>
              <w:t xml:space="preserve"> - K</w:t>
            </w:r>
            <w:r w:rsidRPr="00201417">
              <w:rPr>
                <w:rFonts w:ascii="Calibri" w:hAnsi="Calibri"/>
                <w:vertAlign w:val="subscript"/>
              </w:rPr>
              <w:t>2</w:t>
            </w:r>
            <w:r>
              <w:rPr>
                <w:rFonts w:ascii="Calibri" w:hAnsi="Calibri"/>
              </w:rPr>
              <w:t xml:space="preserve">EDTA </w:t>
            </w:r>
            <w:proofErr w:type="spellStart"/>
            <w:r>
              <w:rPr>
                <w:rFonts w:ascii="Calibri" w:hAnsi="Calibri"/>
              </w:rPr>
              <w:t>Vacutainer</w:t>
            </w:r>
            <w:proofErr w:type="spellEnd"/>
            <w:r>
              <w:rPr>
                <w:rFonts w:ascii="Calibri" w:hAnsi="Calibri"/>
              </w:rPr>
              <w:t xml:space="preserve"> Tubes</w:t>
            </w:r>
          </w:p>
        </w:tc>
        <w:tc>
          <w:tcPr>
            <w:tcW w:w="1800" w:type="dxa"/>
            <w:tcBorders>
              <w:top w:val="outset" w:sz="6" w:space="0" w:color="auto"/>
              <w:left w:val="outset" w:sz="6" w:space="0" w:color="auto"/>
              <w:bottom w:val="outset" w:sz="6" w:space="0" w:color="auto"/>
              <w:right w:val="outset" w:sz="6" w:space="0" w:color="auto"/>
            </w:tcBorders>
          </w:tcPr>
          <w:p w:rsidR="00EE705F" w:rsidRDefault="00201417">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EE705F" w:rsidRDefault="00201417">
            <w:r>
              <w:rPr>
                <w:rFonts w:ascii="Calibri" w:hAnsi="Calibri"/>
              </w:rPr>
              <w:t>22-253-145</w:t>
            </w:r>
          </w:p>
        </w:tc>
        <w:tc>
          <w:tcPr>
            <w:tcW w:w="2790" w:type="dxa"/>
            <w:tcBorders>
              <w:top w:val="outset" w:sz="6" w:space="0" w:color="auto"/>
              <w:left w:val="outset" w:sz="6" w:space="0" w:color="auto"/>
              <w:bottom w:val="outset" w:sz="6" w:space="0" w:color="auto"/>
              <w:right w:val="outset" w:sz="6" w:space="0" w:color="auto"/>
            </w:tcBorders>
          </w:tcPr>
          <w:p w:rsidR="00EE705F"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 xml:space="preserve">BD </w:t>
            </w:r>
            <w:proofErr w:type="spellStart"/>
            <w:r>
              <w:rPr>
                <w:rFonts w:ascii="Calibri" w:hAnsi="Calibri"/>
              </w:rPr>
              <w:t>Vacutainer</w:t>
            </w:r>
            <w:proofErr w:type="spellEnd"/>
            <w:r>
              <w:rPr>
                <w:rFonts w:ascii="Calibri" w:hAnsi="Calibri"/>
              </w:rPr>
              <w:t xml:space="preserve"> Blood Collection Needles, 20.5-gauge</w:t>
            </w:r>
          </w:p>
        </w:tc>
        <w:tc>
          <w:tcPr>
            <w:tcW w:w="180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02-665-31</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lastRenderedPageBreak/>
              <w:t xml:space="preserve">BD </w:t>
            </w:r>
            <w:proofErr w:type="spellStart"/>
            <w:r>
              <w:rPr>
                <w:rFonts w:ascii="Calibri" w:hAnsi="Calibri"/>
              </w:rPr>
              <w:t>Vacutainer</w:t>
            </w:r>
            <w:proofErr w:type="spellEnd"/>
            <w:r>
              <w:rPr>
                <w:rFonts w:ascii="Calibri" w:hAnsi="Calibri"/>
              </w:rPr>
              <w:t xml:space="preserve"> Tube Holder / Needle Adapter</w:t>
            </w:r>
          </w:p>
        </w:tc>
        <w:tc>
          <w:tcPr>
            <w:tcW w:w="180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201417">
            <w:pPr>
              <w:rPr>
                <w:rFonts w:ascii="Calibri" w:hAnsi="Calibri"/>
              </w:rPr>
            </w:pPr>
            <w:r w:rsidRPr="00201417">
              <w:rPr>
                <w:rFonts w:ascii="Calibri" w:hAnsi="Calibri"/>
              </w:rPr>
              <w:t>22-289-953</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BD Brand Isopropyl Alcohol Swabs</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sidRPr="00DC6937">
              <w:rPr>
                <w:rFonts w:ascii="Calibri" w:hAnsi="Calibri"/>
              </w:rPr>
              <w:t>13-680-63</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 xml:space="preserve">BD </w:t>
            </w:r>
            <w:proofErr w:type="spellStart"/>
            <w:r>
              <w:rPr>
                <w:rFonts w:ascii="Calibri" w:hAnsi="Calibri"/>
              </w:rPr>
              <w:t>Vacutainer</w:t>
            </w:r>
            <w:proofErr w:type="spellEnd"/>
            <w:r>
              <w:rPr>
                <w:rFonts w:ascii="Calibri" w:hAnsi="Calibri"/>
              </w:rPr>
              <w:t xml:space="preserve"> Latex-Free Tourniquet</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sidRPr="00DC6937">
              <w:rPr>
                <w:rFonts w:ascii="Calibri" w:hAnsi="Calibri"/>
              </w:rPr>
              <w:t>02-657-6</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For blood collection</w:t>
            </w:r>
          </w:p>
        </w:tc>
      </w:tr>
      <w:tr w:rsidR="00DC6937"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DC6937" w:rsidRDefault="00DC6937">
            <w:pPr>
              <w:rPr>
                <w:rFonts w:ascii="Calibri" w:hAnsi="Calibri"/>
              </w:rPr>
            </w:pPr>
            <w:r>
              <w:rPr>
                <w:rFonts w:ascii="Calibri" w:hAnsi="Calibri"/>
              </w:rPr>
              <w:t>Hydrochloric acid (conc.)</w:t>
            </w:r>
          </w:p>
        </w:tc>
        <w:tc>
          <w:tcPr>
            <w:tcW w:w="1800" w:type="dxa"/>
            <w:tcBorders>
              <w:top w:val="outset" w:sz="6" w:space="0" w:color="auto"/>
              <w:left w:val="outset" w:sz="6" w:space="0" w:color="auto"/>
              <w:bottom w:val="outset" w:sz="6" w:space="0" w:color="auto"/>
              <w:right w:val="outset" w:sz="6" w:space="0" w:color="auto"/>
            </w:tcBorders>
          </w:tcPr>
          <w:p w:rsidR="00DC693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DC6937" w:rsidRDefault="00A80229">
            <w:pPr>
              <w:rPr>
                <w:rFonts w:ascii="Calibri" w:hAnsi="Calibri"/>
              </w:rPr>
            </w:pPr>
            <w:r>
              <w:rPr>
                <w:rFonts w:ascii="Calibri" w:hAnsi="Calibri"/>
              </w:rPr>
              <w:t>A144-500</w:t>
            </w:r>
          </w:p>
        </w:tc>
        <w:tc>
          <w:tcPr>
            <w:tcW w:w="2790" w:type="dxa"/>
            <w:tcBorders>
              <w:top w:val="outset" w:sz="6" w:space="0" w:color="auto"/>
              <w:left w:val="outset" w:sz="6" w:space="0" w:color="auto"/>
              <w:bottom w:val="outset" w:sz="6" w:space="0" w:color="auto"/>
              <w:right w:val="outset" w:sz="6" w:space="0" w:color="auto"/>
            </w:tcBorders>
          </w:tcPr>
          <w:p w:rsidR="00DC6937" w:rsidRDefault="00E06021">
            <w:r>
              <w:t>For adjustment of pH of D-PBS.</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Triton X-100</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Sigma-Aldrich</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T8787</w:t>
            </w:r>
          </w:p>
        </w:tc>
        <w:tc>
          <w:tcPr>
            <w:tcW w:w="2790" w:type="dxa"/>
            <w:tcBorders>
              <w:top w:val="outset" w:sz="6" w:space="0" w:color="auto"/>
              <w:left w:val="outset" w:sz="6" w:space="0" w:color="auto"/>
              <w:bottom w:val="outset" w:sz="6" w:space="0" w:color="auto"/>
              <w:right w:val="outset" w:sz="6" w:space="0" w:color="auto"/>
            </w:tcBorders>
          </w:tcPr>
          <w:p w:rsidR="00201417" w:rsidRDefault="00DC6937">
            <w:r>
              <w:t>Positive control</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Dulbecco’s PBS</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Invitrogen</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14190</w:t>
            </w:r>
          </w:p>
        </w:tc>
        <w:tc>
          <w:tcPr>
            <w:tcW w:w="2790" w:type="dxa"/>
            <w:tcBorders>
              <w:top w:val="outset" w:sz="6" w:space="0" w:color="auto"/>
              <w:left w:val="outset" w:sz="6" w:space="0" w:color="auto"/>
              <w:bottom w:val="outset" w:sz="6" w:space="0" w:color="auto"/>
              <w:right w:val="outset" w:sz="6" w:space="0" w:color="auto"/>
            </w:tcBorders>
          </w:tcPr>
          <w:p w:rsidR="00201417" w:rsidRDefault="00201417"/>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Nalgene MF75 Sterile Disposable Bottle-Top Filter Unit with SFCA Membrane</w:t>
            </w:r>
          </w:p>
        </w:tc>
        <w:tc>
          <w:tcPr>
            <w:tcW w:w="180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DC6937">
            <w:pPr>
              <w:rPr>
                <w:rFonts w:ascii="Calibri" w:hAnsi="Calibri"/>
              </w:rPr>
            </w:pPr>
            <w:r w:rsidRPr="00DC6937">
              <w:rPr>
                <w:rFonts w:ascii="Calibri" w:hAnsi="Calibri"/>
              </w:rPr>
              <w:t>09-740-44A</w:t>
            </w:r>
          </w:p>
        </w:tc>
        <w:tc>
          <w:tcPr>
            <w:tcW w:w="2790" w:type="dxa"/>
            <w:tcBorders>
              <w:top w:val="outset" w:sz="6" w:space="0" w:color="auto"/>
              <w:left w:val="outset" w:sz="6" w:space="0" w:color="auto"/>
              <w:bottom w:val="outset" w:sz="6" w:space="0" w:color="auto"/>
              <w:right w:val="outset" w:sz="6" w:space="0" w:color="auto"/>
            </w:tcBorders>
          </w:tcPr>
          <w:p w:rsidR="00201417" w:rsidRDefault="00201417"/>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BD 96-well plates, flat-bottomed, tissue culture-treated polystyrene</w:t>
            </w:r>
          </w:p>
        </w:tc>
        <w:tc>
          <w:tcPr>
            <w:tcW w:w="180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BC499D" w:rsidP="00BC499D">
            <w:pPr>
              <w:rPr>
                <w:rFonts w:ascii="Calibri" w:hAnsi="Calibri"/>
              </w:rPr>
            </w:pPr>
            <w:r w:rsidRPr="00BC499D">
              <w:rPr>
                <w:rFonts w:ascii="Calibri" w:hAnsi="Calibri"/>
              </w:rPr>
              <w:t>08-772-2C</w:t>
            </w:r>
          </w:p>
        </w:tc>
        <w:tc>
          <w:tcPr>
            <w:tcW w:w="2790" w:type="dxa"/>
            <w:tcBorders>
              <w:top w:val="outset" w:sz="6" w:space="0" w:color="auto"/>
              <w:left w:val="outset" w:sz="6" w:space="0" w:color="auto"/>
              <w:bottom w:val="outset" w:sz="6" w:space="0" w:color="auto"/>
              <w:right w:val="outset" w:sz="6" w:space="0" w:color="auto"/>
            </w:tcBorders>
          </w:tcPr>
          <w:p w:rsidR="00201417" w:rsidRDefault="00BC499D">
            <w:r>
              <w:t>For plate-reading at the end of the assay.</w:t>
            </w:r>
          </w:p>
        </w:tc>
      </w:tr>
      <w:tr w:rsidR="00BC499D" w:rsidTr="00BC499D">
        <w:trPr>
          <w:tblCellSpacing w:w="0" w:type="dxa"/>
        </w:trPr>
        <w:tc>
          <w:tcPr>
            <w:tcW w:w="273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BD 96-well plates, round-bottomed, tissue culture-treated polystyrene</w:t>
            </w:r>
          </w:p>
        </w:tc>
        <w:tc>
          <w:tcPr>
            <w:tcW w:w="180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Pr>
                <w:rFonts w:ascii="Calibri" w:hAnsi="Calibri"/>
              </w:rPr>
              <w:t>Fisher Scientific</w:t>
            </w:r>
          </w:p>
        </w:tc>
        <w:tc>
          <w:tcPr>
            <w:tcW w:w="1350" w:type="dxa"/>
            <w:tcBorders>
              <w:top w:val="outset" w:sz="6" w:space="0" w:color="auto"/>
              <w:left w:val="outset" w:sz="6" w:space="0" w:color="auto"/>
              <w:bottom w:val="outset" w:sz="6" w:space="0" w:color="auto"/>
              <w:right w:val="outset" w:sz="6" w:space="0" w:color="auto"/>
            </w:tcBorders>
          </w:tcPr>
          <w:p w:rsidR="00201417" w:rsidRDefault="00BC499D">
            <w:pPr>
              <w:rPr>
                <w:rFonts w:ascii="Calibri" w:hAnsi="Calibri"/>
              </w:rPr>
            </w:pPr>
            <w:r w:rsidRPr="00BC499D">
              <w:rPr>
                <w:rFonts w:ascii="Calibri" w:hAnsi="Calibri"/>
              </w:rPr>
              <w:t>08-772-17</w:t>
            </w:r>
          </w:p>
        </w:tc>
        <w:tc>
          <w:tcPr>
            <w:tcW w:w="2790" w:type="dxa"/>
            <w:tcBorders>
              <w:top w:val="outset" w:sz="6" w:space="0" w:color="auto"/>
              <w:left w:val="outset" w:sz="6" w:space="0" w:color="auto"/>
              <w:bottom w:val="outset" w:sz="6" w:space="0" w:color="auto"/>
              <w:right w:val="outset" w:sz="6" w:space="0" w:color="auto"/>
            </w:tcBorders>
          </w:tcPr>
          <w:p w:rsidR="00201417" w:rsidRDefault="00BC499D">
            <w:r>
              <w:t>For incubation of red blood cells with experimental agents.</w:t>
            </w:r>
          </w:p>
        </w:tc>
      </w:tr>
    </w:tbl>
    <w:p w:rsidR="00EE705F" w:rsidRDefault="00EE705F" w:rsidP="00EE705F">
      <w:r>
        <w:t> </w:t>
      </w:r>
    </w:p>
    <w:p w:rsidR="000973C0" w:rsidRDefault="00EE705F" w:rsidP="00586D4B">
      <w:pPr>
        <w:pStyle w:val="NormalWeb"/>
      </w:pPr>
      <w:r>
        <w:rPr>
          <w:rFonts w:ascii="Calibri" w:hAnsi="Calibri"/>
          <w:b/>
          <w:bCs/>
        </w:rPr>
        <w:t>References:</w:t>
      </w:r>
      <w:r>
        <w:rPr>
          <w:rFonts w:ascii="Calibri" w:hAnsi="Calibri"/>
        </w:rPr>
        <w:t> </w:t>
      </w:r>
    </w:p>
    <w:p w:rsidR="001B0A75" w:rsidRDefault="000973C0" w:rsidP="001B0A75">
      <w:pPr>
        <w:ind w:left="720" w:hanging="720"/>
        <w:rPr>
          <w:noProof/>
        </w:rPr>
      </w:pPr>
      <w:r>
        <w:fldChar w:fldCharType="begin"/>
      </w:r>
      <w:r>
        <w:instrText xml:space="preserve"> ADDIN EN.REFLIST </w:instrText>
      </w:r>
      <w:r>
        <w:fldChar w:fldCharType="separate"/>
      </w:r>
      <w:bookmarkStart w:id="2" w:name="_ENREF_1"/>
      <w:r w:rsidR="001B0A75">
        <w:rPr>
          <w:noProof/>
        </w:rPr>
        <w:t>1.</w:t>
      </w:r>
      <w:r w:rsidR="001B0A75">
        <w:rPr>
          <w:noProof/>
        </w:rPr>
        <w:tab/>
        <w:t>Alberts, B. et al. Molecular Biology of the Cell, Edn. 4th. (Garland Science, New York, NY; 2002).</w:t>
      </w:r>
      <w:bookmarkEnd w:id="2"/>
    </w:p>
    <w:p w:rsidR="001B0A75" w:rsidRDefault="001B0A75" w:rsidP="001B0A75">
      <w:pPr>
        <w:ind w:left="720" w:hanging="720"/>
        <w:rPr>
          <w:noProof/>
        </w:rPr>
      </w:pPr>
      <w:bookmarkStart w:id="3" w:name="_ENREF_2"/>
      <w:r>
        <w:rPr>
          <w:noProof/>
        </w:rPr>
        <w:t>2.</w:t>
      </w:r>
      <w:r>
        <w:rPr>
          <w:noProof/>
        </w:rPr>
        <w:tab/>
        <w:t xml:space="preserve">Convertine, A.J., Benoit, D.S., Duvall, C.L., Hoffman, A.S. &amp; Stayton, P.S. Development of a novel endosomolytic diblock copolymer for siRNA delivery. </w:t>
      </w:r>
      <w:r w:rsidRPr="001B0A75">
        <w:rPr>
          <w:i/>
          <w:noProof/>
        </w:rPr>
        <w:t>J Control Release</w:t>
      </w:r>
      <w:r>
        <w:rPr>
          <w:noProof/>
        </w:rPr>
        <w:t xml:space="preserve"> </w:t>
      </w:r>
      <w:r w:rsidRPr="001B0A75">
        <w:rPr>
          <w:b/>
          <w:noProof/>
        </w:rPr>
        <w:t>133</w:t>
      </w:r>
      <w:r>
        <w:rPr>
          <w:noProof/>
        </w:rPr>
        <w:t>, 221-229 (2009).</w:t>
      </w:r>
      <w:bookmarkEnd w:id="3"/>
    </w:p>
    <w:p w:rsidR="001B0A75" w:rsidRDefault="001B0A75" w:rsidP="001B0A75">
      <w:pPr>
        <w:ind w:left="720" w:hanging="720"/>
        <w:rPr>
          <w:noProof/>
        </w:rPr>
      </w:pPr>
      <w:bookmarkStart w:id="4" w:name="_ENREF_3"/>
      <w:r>
        <w:rPr>
          <w:noProof/>
        </w:rPr>
        <w:t>3.</w:t>
      </w:r>
      <w:r>
        <w:rPr>
          <w:noProof/>
        </w:rPr>
        <w:tab/>
        <w:t xml:space="preserve">Duvall, C.L., Convertine, A.J., Benoit, D.S., Hoffman, A.S. &amp; Stayton, P.S. Intracellular Delivery of a Proapoptotic Peptide via Conjugation to a RAFT Synthesized Endosomolytic Polymer. </w:t>
      </w:r>
      <w:r w:rsidRPr="001B0A75">
        <w:rPr>
          <w:i/>
          <w:noProof/>
        </w:rPr>
        <w:t>Mol Pharm</w:t>
      </w:r>
      <w:r>
        <w:rPr>
          <w:noProof/>
        </w:rPr>
        <w:t xml:space="preserve"> (2010).</w:t>
      </w:r>
      <w:bookmarkEnd w:id="4"/>
    </w:p>
    <w:p w:rsidR="001B0A75" w:rsidRDefault="001B0A75" w:rsidP="001B0A75">
      <w:pPr>
        <w:ind w:left="720" w:hanging="720"/>
        <w:rPr>
          <w:noProof/>
        </w:rPr>
      </w:pPr>
      <w:bookmarkStart w:id="5" w:name="_ENREF_4"/>
      <w:r>
        <w:rPr>
          <w:noProof/>
        </w:rPr>
        <w:t>4.</w:t>
      </w:r>
      <w:r>
        <w:rPr>
          <w:noProof/>
        </w:rPr>
        <w:tab/>
        <w:t xml:space="preserve">Plank, C., Oberhauser, B., Mechtler, K., Koch, C. &amp; Wagner, E. The influence of endosome-disruptive peptides on gene transfer using synthetic virus-like gene transfer systems. </w:t>
      </w:r>
      <w:r w:rsidRPr="001B0A75">
        <w:rPr>
          <w:i/>
          <w:noProof/>
        </w:rPr>
        <w:t>Journal of Biological Chemistry</w:t>
      </w:r>
      <w:r>
        <w:rPr>
          <w:noProof/>
        </w:rPr>
        <w:t xml:space="preserve"> </w:t>
      </w:r>
      <w:r w:rsidRPr="001B0A75">
        <w:rPr>
          <w:b/>
          <w:noProof/>
        </w:rPr>
        <w:t>269</w:t>
      </w:r>
      <w:r>
        <w:rPr>
          <w:noProof/>
        </w:rPr>
        <w:t>, 12918-12924 (1994).</w:t>
      </w:r>
      <w:bookmarkEnd w:id="5"/>
    </w:p>
    <w:p w:rsidR="001B0A75" w:rsidRDefault="001B0A75" w:rsidP="001B0A75">
      <w:pPr>
        <w:ind w:left="720" w:hanging="720"/>
        <w:rPr>
          <w:noProof/>
        </w:rPr>
      </w:pPr>
      <w:bookmarkStart w:id="6" w:name="_ENREF_5"/>
      <w:r>
        <w:rPr>
          <w:noProof/>
        </w:rPr>
        <w:t>5.</w:t>
      </w:r>
      <w:r>
        <w:rPr>
          <w:noProof/>
        </w:rPr>
        <w:tab/>
        <w:t xml:space="preserve">Saar, K. et al. Cell-penetrating peptides: A comparative membrane toxicity study. </w:t>
      </w:r>
      <w:r w:rsidRPr="001B0A75">
        <w:rPr>
          <w:i/>
          <w:noProof/>
        </w:rPr>
        <w:t>Analytical Biochemistry</w:t>
      </w:r>
      <w:r>
        <w:rPr>
          <w:noProof/>
        </w:rPr>
        <w:t xml:space="preserve"> </w:t>
      </w:r>
      <w:r w:rsidRPr="001B0A75">
        <w:rPr>
          <w:b/>
          <w:noProof/>
        </w:rPr>
        <w:t>345</w:t>
      </w:r>
      <w:r>
        <w:rPr>
          <w:noProof/>
        </w:rPr>
        <w:t>, 55-65 (2005).</w:t>
      </w:r>
      <w:bookmarkEnd w:id="6"/>
    </w:p>
    <w:p w:rsidR="001B0A75" w:rsidRDefault="001B0A75" w:rsidP="001B0A75">
      <w:pPr>
        <w:ind w:left="720" w:hanging="720"/>
        <w:rPr>
          <w:noProof/>
        </w:rPr>
      </w:pPr>
      <w:bookmarkStart w:id="7" w:name="_ENREF_6"/>
      <w:r>
        <w:rPr>
          <w:noProof/>
        </w:rPr>
        <w:t>6.</w:t>
      </w:r>
      <w:r>
        <w:rPr>
          <w:noProof/>
        </w:rPr>
        <w:tab/>
        <w:t xml:space="preserve">Kichler, A., Leborgne, C., Coeytaux, E. &amp; Danos, O. Polyethylenimine-mediated gene delivery: a mechanistic study. </w:t>
      </w:r>
      <w:r w:rsidRPr="001B0A75">
        <w:rPr>
          <w:i/>
          <w:noProof/>
        </w:rPr>
        <w:t>The Journal of Gene Medicine</w:t>
      </w:r>
      <w:r>
        <w:rPr>
          <w:noProof/>
        </w:rPr>
        <w:t xml:space="preserve"> </w:t>
      </w:r>
      <w:r w:rsidRPr="001B0A75">
        <w:rPr>
          <w:b/>
          <w:noProof/>
        </w:rPr>
        <w:t>3</w:t>
      </w:r>
      <w:r>
        <w:rPr>
          <w:noProof/>
        </w:rPr>
        <w:t>, 135-144 (2001).</w:t>
      </w:r>
      <w:bookmarkEnd w:id="7"/>
    </w:p>
    <w:p w:rsidR="001B0A75" w:rsidRDefault="001B0A75" w:rsidP="001B0A75">
      <w:pPr>
        <w:ind w:left="720" w:hanging="720"/>
        <w:rPr>
          <w:noProof/>
        </w:rPr>
      </w:pPr>
      <w:bookmarkStart w:id="8" w:name="_ENREF_7"/>
      <w:r>
        <w:rPr>
          <w:noProof/>
        </w:rPr>
        <w:t>7.</w:t>
      </w:r>
      <w:r>
        <w:rPr>
          <w:noProof/>
        </w:rPr>
        <w:tab/>
        <w:t xml:space="preserve">Convertine, A.J. et al. pH-Responsive Polymeric Micelle Carriers for siRNA Drugs. </w:t>
      </w:r>
      <w:r w:rsidRPr="001B0A75">
        <w:rPr>
          <w:i/>
          <w:noProof/>
        </w:rPr>
        <w:t>Biomacromolecules</w:t>
      </w:r>
      <w:r>
        <w:rPr>
          <w:noProof/>
        </w:rPr>
        <w:t xml:space="preserve"> </w:t>
      </w:r>
      <w:r w:rsidRPr="001B0A75">
        <w:rPr>
          <w:b/>
          <w:noProof/>
        </w:rPr>
        <w:t>11</w:t>
      </w:r>
      <w:r>
        <w:rPr>
          <w:noProof/>
        </w:rPr>
        <w:t>, 2904-2911 (2010).</w:t>
      </w:r>
      <w:bookmarkEnd w:id="8"/>
    </w:p>
    <w:p w:rsidR="001B0A75" w:rsidRDefault="001B0A75" w:rsidP="001B0A75">
      <w:pPr>
        <w:ind w:left="720" w:hanging="720"/>
        <w:rPr>
          <w:noProof/>
        </w:rPr>
      </w:pPr>
      <w:bookmarkStart w:id="9" w:name="_ENREF_8"/>
      <w:r>
        <w:rPr>
          <w:noProof/>
        </w:rPr>
        <w:lastRenderedPageBreak/>
        <w:t>8.</w:t>
      </w:r>
      <w:r>
        <w:rPr>
          <w:noProof/>
        </w:rPr>
        <w:tab/>
        <w:t xml:space="preserve">Behr, J.-P. The Proton Sponge: a Trick to Enter Cells the Viruses Did Not Exploit. </w:t>
      </w:r>
      <w:r w:rsidRPr="001B0A75">
        <w:rPr>
          <w:i/>
          <w:noProof/>
        </w:rPr>
        <w:t>CHIMIA International Journal for Chemistry</w:t>
      </w:r>
      <w:r>
        <w:rPr>
          <w:noProof/>
        </w:rPr>
        <w:t xml:space="preserve"> </w:t>
      </w:r>
      <w:r w:rsidRPr="001B0A75">
        <w:rPr>
          <w:b/>
          <w:noProof/>
        </w:rPr>
        <w:t>51</w:t>
      </w:r>
      <w:r>
        <w:rPr>
          <w:noProof/>
        </w:rPr>
        <w:t>, 34-36 (1997).</w:t>
      </w:r>
      <w:bookmarkEnd w:id="9"/>
    </w:p>
    <w:p w:rsidR="001B0A75" w:rsidRDefault="001B0A75" w:rsidP="001B0A75">
      <w:pPr>
        <w:ind w:left="720" w:hanging="720"/>
        <w:rPr>
          <w:noProof/>
        </w:rPr>
      </w:pPr>
      <w:bookmarkStart w:id="10" w:name="_ENREF_9"/>
      <w:r>
        <w:rPr>
          <w:noProof/>
        </w:rPr>
        <w:t>9.</w:t>
      </w:r>
      <w:r>
        <w:rPr>
          <w:noProof/>
        </w:rPr>
        <w:tab/>
        <w:t xml:space="preserve">Varkouhi, A.K., Scholte, M., Storm, G. &amp; Haisma, H.J. Endosomal escape pathways for delivery of biologicals. </w:t>
      </w:r>
      <w:r w:rsidRPr="001B0A75">
        <w:rPr>
          <w:i/>
          <w:noProof/>
        </w:rPr>
        <w:t>Journal of Controlled Release</w:t>
      </w:r>
      <w:r>
        <w:rPr>
          <w:noProof/>
        </w:rPr>
        <w:t xml:space="preserve"> </w:t>
      </w:r>
      <w:r w:rsidRPr="001B0A75">
        <w:rPr>
          <w:b/>
          <w:noProof/>
        </w:rPr>
        <w:t>151</w:t>
      </w:r>
      <w:r>
        <w:rPr>
          <w:noProof/>
        </w:rPr>
        <w:t>, 220-228 (2011).</w:t>
      </w:r>
      <w:bookmarkEnd w:id="10"/>
    </w:p>
    <w:p w:rsidR="001B0A75" w:rsidRDefault="001B0A75" w:rsidP="001B0A75">
      <w:pPr>
        <w:ind w:left="720" w:hanging="720"/>
        <w:rPr>
          <w:noProof/>
        </w:rPr>
      </w:pPr>
      <w:bookmarkStart w:id="11" w:name="_ENREF_10"/>
      <w:r>
        <w:rPr>
          <w:noProof/>
        </w:rPr>
        <w:t>10.</w:t>
      </w:r>
      <w:r>
        <w:rPr>
          <w:noProof/>
        </w:rPr>
        <w:tab/>
        <w:t xml:space="preserve">Ratner, A.J. et al. Epithelial Cells Are Sensitive Detectors of Bacterial Pore-forming Toxins. </w:t>
      </w:r>
      <w:r w:rsidRPr="001B0A75">
        <w:rPr>
          <w:i/>
          <w:noProof/>
        </w:rPr>
        <w:t>Journal of Biological Chemistry</w:t>
      </w:r>
      <w:r>
        <w:rPr>
          <w:noProof/>
        </w:rPr>
        <w:t xml:space="preserve"> </w:t>
      </w:r>
      <w:r w:rsidRPr="001B0A75">
        <w:rPr>
          <w:b/>
          <w:noProof/>
        </w:rPr>
        <w:t>281</w:t>
      </w:r>
      <w:r>
        <w:rPr>
          <w:noProof/>
        </w:rPr>
        <w:t>, 12994-12998 (2006).</w:t>
      </w:r>
      <w:bookmarkEnd w:id="11"/>
    </w:p>
    <w:p w:rsidR="001B0A75" w:rsidRDefault="001B0A75" w:rsidP="001B0A75">
      <w:pPr>
        <w:rPr>
          <w:noProof/>
        </w:rPr>
      </w:pPr>
    </w:p>
    <w:p w:rsidR="00EE705F" w:rsidRDefault="000973C0">
      <w:r>
        <w:fldChar w:fldCharType="end"/>
      </w:r>
    </w:p>
    <w:sectPr w:rsidR="00EE705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A0F93"/>
    <w:multiLevelType w:val="multilevel"/>
    <w:tmpl w:val="4058F6D8"/>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203D7CF4"/>
    <w:multiLevelType w:val="multilevel"/>
    <w:tmpl w:val="DAE8B996"/>
    <w:lvl w:ilvl="0">
      <w:start w:val="3"/>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38D87F38"/>
    <w:multiLevelType w:val="hybridMultilevel"/>
    <w:tmpl w:val="0C708F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ED114AB"/>
    <w:multiLevelType w:val="hybridMultilevel"/>
    <w:tmpl w:val="4FACD200"/>
    <w:lvl w:ilvl="0" w:tplc="F6BC1358">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B314AC"/>
    <w:multiLevelType w:val="multilevel"/>
    <w:tmpl w:val="65DAEF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1BD4A0D"/>
    <w:multiLevelType w:val="multilevel"/>
    <w:tmpl w:val="4DB8E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BF06D4E"/>
    <w:multiLevelType w:val="multilevel"/>
    <w:tmpl w:val="422632D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5"/>
  </w:num>
  <w:num w:numId="3">
    <w:abstractNumId w:val="2"/>
  </w:num>
  <w:num w:numId="4">
    <w:abstractNumId w:val="0"/>
  </w:num>
  <w:num w:numId="5">
    <w:abstractNumId w:val="3"/>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0z9paptzsv9spetsptpevzoxva2epa2vvzx&quot;&gt;GiorgioLabPapers&lt;record-ids&gt;&lt;item&gt;4459&lt;/item&gt;&lt;item&gt;4551&lt;/item&gt;&lt;item&gt;4879&lt;/item&gt;&lt;item&gt;5116&lt;/item&gt;&lt;item&gt;5117&lt;/item&gt;&lt;item&gt;5134&lt;/item&gt;&lt;item&gt;5135&lt;/item&gt;&lt;item&gt;5136&lt;/item&gt;&lt;item&gt;5137&lt;/item&gt;&lt;item&gt;5138&lt;/item&gt;&lt;/record-ids&gt;&lt;/item&gt;&lt;/Libraries&gt;"/>
  </w:docVars>
  <w:rsids>
    <w:rsidRoot w:val="00EE705F"/>
    <w:rsid w:val="000973C0"/>
    <w:rsid w:val="000E7094"/>
    <w:rsid w:val="00121072"/>
    <w:rsid w:val="001B0A75"/>
    <w:rsid w:val="00201417"/>
    <w:rsid w:val="00211B0E"/>
    <w:rsid w:val="0023742E"/>
    <w:rsid w:val="002B1295"/>
    <w:rsid w:val="00325771"/>
    <w:rsid w:val="003A49D0"/>
    <w:rsid w:val="00435009"/>
    <w:rsid w:val="004A241C"/>
    <w:rsid w:val="004C7633"/>
    <w:rsid w:val="00571D46"/>
    <w:rsid w:val="00586D4B"/>
    <w:rsid w:val="005B6C26"/>
    <w:rsid w:val="00656F14"/>
    <w:rsid w:val="006909C9"/>
    <w:rsid w:val="00775897"/>
    <w:rsid w:val="007B7F93"/>
    <w:rsid w:val="00821379"/>
    <w:rsid w:val="00877627"/>
    <w:rsid w:val="008866EB"/>
    <w:rsid w:val="008C52CD"/>
    <w:rsid w:val="008F2500"/>
    <w:rsid w:val="009D577F"/>
    <w:rsid w:val="00A52E70"/>
    <w:rsid w:val="00A80229"/>
    <w:rsid w:val="00AB5376"/>
    <w:rsid w:val="00AC6CDE"/>
    <w:rsid w:val="00B26F0C"/>
    <w:rsid w:val="00B65EF4"/>
    <w:rsid w:val="00B76632"/>
    <w:rsid w:val="00BA0410"/>
    <w:rsid w:val="00BA6E04"/>
    <w:rsid w:val="00BC499D"/>
    <w:rsid w:val="00C2307C"/>
    <w:rsid w:val="00C27A8C"/>
    <w:rsid w:val="00C36812"/>
    <w:rsid w:val="00C37843"/>
    <w:rsid w:val="00C54F10"/>
    <w:rsid w:val="00CD4962"/>
    <w:rsid w:val="00D45C46"/>
    <w:rsid w:val="00D64434"/>
    <w:rsid w:val="00D8366C"/>
    <w:rsid w:val="00DA5115"/>
    <w:rsid w:val="00DC6937"/>
    <w:rsid w:val="00DF4F84"/>
    <w:rsid w:val="00E029AD"/>
    <w:rsid w:val="00E06021"/>
    <w:rsid w:val="00E71D3F"/>
    <w:rsid w:val="00EE705F"/>
    <w:rsid w:val="00F33F99"/>
    <w:rsid w:val="00F43E81"/>
    <w:rsid w:val="00F847A6"/>
    <w:rsid w:val="00FE7C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E705F"/>
    <w:pPr>
      <w:spacing w:before="100" w:beforeAutospacing="1" w:after="100" w:afterAutospacing="1"/>
    </w:pPr>
  </w:style>
  <w:style w:type="character" w:styleId="Hyperlink">
    <w:name w:val="Hyperlink"/>
    <w:basedOn w:val="DefaultParagraphFont"/>
    <w:rsid w:val="00EE705F"/>
    <w:rPr>
      <w:color w:val="0000FF"/>
      <w:u w:val="single"/>
    </w:rPr>
  </w:style>
  <w:style w:type="paragraph" w:styleId="ListParagraph">
    <w:name w:val="List Paragraph"/>
    <w:basedOn w:val="Normal"/>
    <w:uiPriority w:val="34"/>
    <w:qFormat/>
    <w:rsid w:val="00571D46"/>
    <w:pPr>
      <w:ind w:left="720"/>
      <w:contextualSpacing/>
    </w:pPr>
  </w:style>
  <w:style w:type="paragraph" w:styleId="BalloonText">
    <w:name w:val="Balloon Text"/>
    <w:basedOn w:val="Normal"/>
    <w:link w:val="BalloonTextChar"/>
    <w:rsid w:val="00C27A8C"/>
    <w:rPr>
      <w:rFonts w:ascii="Tahoma" w:hAnsi="Tahoma" w:cs="Tahoma"/>
      <w:sz w:val="16"/>
      <w:szCs w:val="16"/>
    </w:rPr>
  </w:style>
  <w:style w:type="character" w:customStyle="1" w:styleId="BalloonTextChar">
    <w:name w:val="Balloon Text Char"/>
    <w:basedOn w:val="DefaultParagraphFont"/>
    <w:link w:val="BalloonText"/>
    <w:rsid w:val="00C27A8C"/>
    <w:rPr>
      <w:rFonts w:ascii="Tahoma" w:hAnsi="Tahoma" w:cs="Tahoma"/>
      <w:sz w:val="16"/>
      <w:szCs w:val="16"/>
      <w:lang w:eastAsia="en-US"/>
    </w:rPr>
  </w:style>
  <w:style w:type="paragraph" w:styleId="Caption">
    <w:name w:val="caption"/>
    <w:basedOn w:val="Normal"/>
    <w:next w:val="Normal"/>
    <w:unhideWhenUsed/>
    <w:qFormat/>
    <w:rsid w:val="00AC6CDE"/>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E705F"/>
    <w:pPr>
      <w:spacing w:before="100" w:beforeAutospacing="1" w:after="100" w:afterAutospacing="1"/>
    </w:pPr>
  </w:style>
  <w:style w:type="character" w:styleId="Hyperlink">
    <w:name w:val="Hyperlink"/>
    <w:basedOn w:val="DefaultParagraphFont"/>
    <w:rsid w:val="00EE705F"/>
    <w:rPr>
      <w:color w:val="0000FF"/>
      <w:u w:val="single"/>
    </w:rPr>
  </w:style>
  <w:style w:type="paragraph" w:styleId="ListParagraph">
    <w:name w:val="List Paragraph"/>
    <w:basedOn w:val="Normal"/>
    <w:uiPriority w:val="34"/>
    <w:qFormat/>
    <w:rsid w:val="00571D46"/>
    <w:pPr>
      <w:ind w:left="720"/>
      <w:contextualSpacing/>
    </w:pPr>
  </w:style>
  <w:style w:type="paragraph" w:styleId="BalloonText">
    <w:name w:val="Balloon Text"/>
    <w:basedOn w:val="Normal"/>
    <w:link w:val="BalloonTextChar"/>
    <w:rsid w:val="00C27A8C"/>
    <w:rPr>
      <w:rFonts w:ascii="Tahoma" w:hAnsi="Tahoma" w:cs="Tahoma"/>
      <w:sz w:val="16"/>
      <w:szCs w:val="16"/>
    </w:rPr>
  </w:style>
  <w:style w:type="character" w:customStyle="1" w:styleId="BalloonTextChar">
    <w:name w:val="Balloon Text Char"/>
    <w:basedOn w:val="DefaultParagraphFont"/>
    <w:link w:val="BalloonText"/>
    <w:rsid w:val="00C27A8C"/>
    <w:rPr>
      <w:rFonts w:ascii="Tahoma" w:hAnsi="Tahoma" w:cs="Tahoma"/>
      <w:sz w:val="16"/>
      <w:szCs w:val="16"/>
      <w:lang w:eastAsia="en-US"/>
    </w:rPr>
  </w:style>
  <w:style w:type="paragraph" w:styleId="Caption">
    <w:name w:val="caption"/>
    <w:basedOn w:val="Normal"/>
    <w:next w:val="Normal"/>
    <w:unhideWhenUsed/>
    <w:qFormat/>
    <w:rsid w:val="00AC6CDE"/>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2777734">
      <w:bodyDiv w:val="1"/>
      <w:marLeft w:val="0"/>
      <w:marRight w:val="0"/>
      <w:marTop w:val="0"/>
      <w:marBottom w:val="0"/>
      <w:divBdr>
        <w:top w:val="none" w:sz="0" w:space="0" w:color="auto"/>
        <w:left w:val="none" w:sz="0" w:space="0" w:color="auto"/>
        <w:bottom w:val="none" w:sz="0" w:space="0" w:color="auto"/>
        <w:right w:val="none" w:sz="0" w:space="0" w:color="auto"/>
      </w:divBdr>
      <w:divsChild>
        <w:div w:id="1513106960">
          <w:marLeft w:val="120"/>
          <w:marRight w:val="120"/>
          <w:marTop w:val="120"/>
          <w:marBottom w:val="120"/>
          <w:divBdr>
            <w:top w:val="none" w:sz="0" w:space="0" w:color="auto"/>
            <w:left w:val="none" w:sz="0" w:space="0" w:color="auto"/>
            <w:bottom w:val="none" w:sz="0" w:space="0" w:color="auto"/>
            <w:right w:val="none" w:sz="0" w:space="0" w:color="auto"/>
          </w:divBdr>
          <w:divsChild>
            <w:div w:id="18995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171717"/>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884</TotalTime>
  <Pages>9</Pages>
  <Words>3130</Words>
  <Characters>17843</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Please suggest names of 5 peer reviewers with their institutional affiliation and email address</vt:lpstr>
    </vt:vector>
  </TitlesOfParts>
  <Company>JoVE</Company>
  <LinksUpToDate>false</LinksUpToDate>
  <CharactersWithSpaces>20932</CharactersWithSpaces>
  <SharedDoc>false</SharedDoc>
  <HLinks>
    <vt:vector size="6" baseType="variant">
      <vt:variant>
        <vt:i4>655393</vt:i4>
      </vt:variant>
      <vt:variant>
        <vt:i4>0</vt:i4>
      </vt:variant>
      <vt:variant>
        <vt:i4>0</vt:i4>
      </vt:variant>
      <vt:variant>
        <vt:i4>5</vt:i4>
      </vt:variant>
      <vt:variant>
        <vt:lpwstr>mailto:iLoveApples@gmail.com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Please suggest names of 5 peer reviewers with their institutional affiliation and email address</dc:title>
  <dc:creator>Phill jones</dc:creator>
  <cp:lastModifiedBy>Shann S. Yu</cp:lastModifiedBy>
  <cp:revision>33</cp:revision>
  <cp:lastPrinted>2012-01-17T18:20:00Z</cp:lastPrinted>
  <dcterms:created xsi:type="dcterms:W3CDTF">2011-11-18T20:24:00Z</dcterms:created>
  <dcterms:modified xsi:type="dcterms:W3CDTF">2012-03-30T19:18:00Z</dcterms:modified>
</cp:coreProperties>
</file>