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094" w:rsidRDefault="004C2094">
      <w:pPr>
        <w:spacing w:before="100" w:after="100" w:line="480" w:lineRule="auto"/>
        <w:jc w:val="center"/>
      </w:pPr>
      <w:r>
        <w:t>JoVE Article</w:t>
      </w:r>
    </w:p>
    <w:p w:rsidR="004C2094" w:rsidRDefault="004C2094">
      <w:pPr>
        <w:spacing w:before="100" w:after="100" w:line="480" w:lineRule="auto"/>
        <w:rPr>
          <w:b/>
          <w:bCs/>
        </w:rPr>
      </w:pPr>
      <w:r>
        <w:rPr>
          <w:b/>
          <w:bCs/>
        </w:rPr>
        <w:t>TITLE:</w:t>
      </w:r>
      <w:r>
        <w:t xml:space="preserve"> A Rodent Model of Surgical Brain Injury</w:t>
      </w:r>
    </w:p>
    <w:p w:rsidR="004C2094" w:rsidRDefault="004C2094">
      <w:pPr>
        <w:spacing w:before="100" w:after="100" w:line="480" w:lineRule="auto"/>
        <w:rPr>
          <w:b/>
          <w:bCs/>
        </w:rPr>
      </w:pPr>
      <w:r>
        <w:rPr>
          <w:b/>
          <w:bCs/>
        </w:rPr>
        <w:t xml:space="preserve">Authors: </w:t>
      </w:r>
      <w:r>
        <w:t>Han Chen, Prativa Sherchan, Cherine H. Kim, Michael Benggon, John H. Zhang</w:t>
      </w:r>
    </w:p>
    <w:p w:rsidR="004C2094" w:rsidRDefault="004C2094">
      <w:pPr>
        <w:spacing w:before="100" w:after="100" w:line="480" w:lineRule="auto"/>
        <w:rPr>
          <w:b/>
          <w:bCs/>
        </w:rPr>
      </w:pPr>
      <w:r>
        <w:rPr>
          <w:b/>
          <w:bCs/>
        </w:rPr>
        <w:t xml:space="preserve">Authors: </w:t>
      </w:r>
    </w:p>
    <w:p w:rsidR="004C2094" w:rsidRDefault="004C2094">
      <w:pPr>
        <w:spacing w:before="100" w:after="100" w:line="480" w:lineRule="auto"/>
      </w:pPr>
      <w:r>
        <w:t>Han Chen, M.D.</w:t>
      </w:r>
    </w:p>
    <w:p w:rsidR="004C2094" w:rsidRDefault="004C2094">
      <w:pPr>
        <w:spacing w:before="100" w:after="100" w:line="480" w:lineRule="auto"/>
      </w:pPr>
      <w:r>
        <w:t>Department of Physiology and Pharmacology</w:t>
      </w:r>
    </w:p>
    <w:p w:rsidR="004C2094" w:rsidRDefault="004C2094">
      <w:pPr>
        <w:spacing w:before="100" w:after="100" w:line="480" w:lineRule="auto"/>
      </w:pPr>
      <w:r>
        <w:t>Loma Linda University School of Medicine</w:t>
      </w:r>
    </w:p>
    <w:p w:rsidR="004C2094" w:rsidRDefault="004C2094">
      <w:pPr>
        <w:spacing w:before="100" w:after="100" w:line="480" w:lineRule="auto"/>
        <w:rPr>
          <w:color w:val="0000FF"/>
          <w:u w:val="single"/>
        </w:rPr>
      </w:pPr>
      <w:hyperlink r:id="rId6" w:history="1">
        <w:r>
          <w:rPr>
            <w:color w:val="0000FF"/>
            <w:u w:val="single"/>
          </w:rPr>
          <w:t>hachen</w:t>
        </w:r>
      </w:hyperlink>
      <w:hyperlink r:id="rId7" w:history="1">
        <w:r>
          <w:rPr>
            <w:color w:val="0000FF"/>
            <w:u w:val="single"/>
          </w:rPr>
          <w:t>@</w:t>
        </w:r>
      </w:hyperlink>
      <w:hyperlink r:id="rId8" w:history="1">
        <w:r>
          <w:rPr>
            <w:color w:val="0000FF"/>
            <w:u w:val="single"/>
          </w:rPr>
          <w:t>llu</w:t>
        </w:r>
      </w:hyperlink>
      <w:hyperlink r:id="rId9" w:history="1">
        <w:r>
          <w:rPr>
            <w:color w:val="0000FF"/>
            <w:u w:val="single"/>
          </w:rPr>
          <w:t>.</w:t>
        </w:r>
      </w:hyperlink>
      <w:hyperlink r:id="rId10" w:history="1">
        <w:r>
          <w:rPr>
            <w:color w:val="0000FF"/>
            <w:u w:val="single"/>
          </w:rPr>
          <w:t>edu</w:t>
        </w:r>
      </w:hyperlink>
    </w:p>
    <w:p w:rsidR="004C2094" w:rsidRDefault="004C2094">
      <w:pPr>
        <w:spacing w:before="100" w:after="100" w:line="480" w:lineRule="auto"/>
        <w:rPr>
          <w:color w:val="0000FF"/>
          <w:u w:val="single"/>
        </w:rPr>
      </w:pPr>
    </w:p>
    <w:p w:rsidR="004C2094" w:rsidRDefault="004C2094">
      <w:pPr>
        <w:spacing w:before="100" w:after="100" w:line="480" w:lineRule="auto"/>
      </w:pPr>
      <w:r>
        <w:t>Prativa Sherchan</w:t>
      </w:r>
    </w:p>
    <w:p w:rsidR="004C2094" w:rsidRDefault="004C2094">
      <w:pPr>
        <w:spacing w:before="100" w:after="100" w:line="480" w:lineRule="auto"/>
      </w:pPr>
      <w:r>
        <w:t>Department of Physiology and Pharmacology</w:t>
      </w:r>
    </w:p>
    <w:p w:rsidR="004C2094" w:rsidRDefault="004C2094">
      <w:pPr>
        <w:spacing w:before="100" w:after="100" w:line="480" w:lineRule="auto"/>
      </w:pPr>
      <w:r>
        <w:t>Loma Linda University School of Medicine</w:t>
      </w:r>
    </w:p>
    <w:p w:rsidR="004C2094" w:rsidRDefault="004C2094">
      <w:pPr>
        <w:spacing w:before="100" w:after="100" w:line="480" w:lineRule="auto"/>
        <w:rPr>
          <w:color w:val="0000FF"/>
          <w:u w:val="single"/>
        </w:rPr>
      </w:pPr>
      <w:hyperlink r:id="rId11" w:history="1">
        <w:r>
          <w:rPr>
            <w:color w:val="0000FF"/>
            <w:u w:val="single"/>
          </w:rPr>
          <w:t>psherchan</w:t>
        </w:r>
      </w:hyperlink>
      <w:hyperlink r:id="rId12" w:history="1">
        <w:r>
          <w:rPr>
            <w:color w:val="0000FF"/>
            <w:u w:val="single"/>
          </w:rPr>
          <w:t>@</w:t>
        </w:r>
      </w:hyperlink>
      <w:hyperlink r:id="rId13" w:history="1">
        <w:r>
          <w:rPr>
            <w:color w:val="0000FF"/>
            <w:u w:val="single"/>
          </w:rPr>
          <w:t>llu</w:t>
        </w:r>
      </w:hyperlink>
      <w:hyperlink r:id="rId14" w:history="1">
        <w:r>
          <w:rPr>
            <w:color w:val="0000FF"/>
            <w:u w:val="single"/>
          </w:rPr>
          <w:t>.</w:t>
        </w:r>
      </w:hyperlink>
      <w:hyperlink r:id="rId15" w:history="1">
        <w:r>
          <w:rPr>
            <w:color w:val="0000FF"/>
            <w:u w:val="single"/>
          </w:rPr>
          <w:t>edu</w:t>
        </w:r>
      </w:hyperlink>
    </w:p>
    <w:p w:rsidR="004C2094" w:rsidRDefault="004C2094">
      <w:pPr>
        <w:spacing w:before="100" w:after="100" w:line="480" w:lineRule="auto"/>
        <w:rPr>
          <w:color w:val="0000FF"/>
          <w:u w:val="single"/>
        </w:rPr>
      </w:pPr>
    </w:p>
    <w:p w:rsidR="004C2094" w:rsidRDefault="004C2094">
      <w:pPr>
        <w:spacing w:before="100" w:after="100" w:line="480" w:lineRule="auto"/>
      </w:pPr>
      <w:r>
        <w:t>Cherine H. Kim</w:t>
      </w:r>
    </w:p>
    <w:p w:rsidR="004C2094" w:rsidRDefault="004C2094">
      <w:pPr>
        <w:spacing w:before="100" w:after="100" w:line="480" w:lineRule="auto"/>
      </w:pPr>
      <w:r>
        <w:t>Department of Biochemistry, Physiology and Pharmacology</w:t>
      </w:r>
    </w:p>
    <w:p w:rsidR="004C2094" w:rsidRDefault="004C2094">
      <w:pPr>
        <w:spacing w:before="100" w:after="100" w:line="480" w:lineRule="auto"/>
      </w:pPr>
      <w:r>
        <w:t>Loma Linda University School of Medicine</w:t>
      </w:r>
    </w:p>
    <w:p w:rsidR="004C2094" w:rsidRDefault="004C2094">
      <w:pPr>
        <w:spacing w:before="100" w:after="100" w:line="480" w:lineRule="auto"/>
        <w:rPr>
          <w:color w:val="0000FF"/>
          <w:u w:val="single"/>
        </w:rPr>
      </w:pPr>
      <w:hyperlink r:id="rId16" w:history="1">
        <w:r>
          <w:rPr>
            <w:color w:val="0000FF"/>
            <w:u w:val="single"/>
          </w:rPr>
          <w:t>chkim</w:t>
        </w:r>
      </w:hyperlink>
      <w:hyperlink r:id="rId17" w:history="1">
        <w:r>
          <w:rPr>
            <w:color w:val="0000FF"/>
            <w:u w:val="single"/>
          </w:rPr>
          <w:t>1@</w:t>
        </w:r>
      </w:hyperlink>
      <w:hyperlink r:id="rId18" w:history="1">
        <w:r>
          <w:rPr>
            <w:color w:val="0000FF"/>
            <w:u w:val="single"/>
          </w:rPr>
          <w:t>llu</w:t>
        </w:r>
      </w:hyperlink>
      <w:hyperlink r:id="rId19" w:history="1">
        <w:r>
          <w:rPr>
            <w:color w:val="0000FF"/>
            <w:u w:val="single"/>
          </w:rPr>
          <w:t>.</w:t>
        </w:r>
      </w:hyperlink>
      <w:hyperlink r:id="rId20" w:history="1">
        <w:r>
          <w:rPr>
            <w:color w:val="0000FF"/>
            <w:u w:val="single"/>
          </w:rPr>
          <w:t>edu</w:t>
        </w:r>
      </w:hyperlink>
    </w:p>
    <w:p w:rsidR="004C2094" w:rsidRDefault="004C2094">
      <w:pPr>
        <w:spacing w:before="100" w:after="100" w:line="480" w:lineRule="auto"/>
        <w:rPr>
          <w:color w:val="0000FF"/>
          <w:u w:val="single"/>
        </w:rPr>
      </w:pPr>
    </w:p>
    <w:p w:rsidR="004C2094" w:rsidRDefault="004C2094">
      <w:pPr>
        <w:spacing w:before="100" w:after="100" w:line="480" w:lineRule="auto"/>
      </w:pPr>
      <w:r>
        <w:t>Michael Benggon, M.D.</w:t>
      </w:r>
    </w:p>
    <w:p w:rsidR="004C2094" w:rsidRDefault="004C2094">
      <w:pPr>
        <w:spacing w:before="100" w:after="100" w:line="480" w:lineRule="auto"/>
      </w:pPr>
      <w:r>
        <w:t>Department of Anesthesiology</w:t>
      </w:r>
    </w:p>
    <w:p w:rsidR="004C2094" w:rsidRDefault="004C2094">
      <w:pPr>
        <w:spacing w:before="100" w:after="100" w:line="480" w:lineRule="auto"/>
      </w:pPr>
      <w:r>
        <w:t>Loma Linda University School of Medicine</w:t>
      </w:r>
    </w:p>
    <w:p w:rsidR="004C2094" w:rsidRDefault="004C2094">
      <w:pPr>
        <w:spacing w:before="100" w:after="100" w:line="480" w:lineRule="auto"/>
      </w:pPr>
      <w:r>
        <w:t>mbenggon@llu.edu</w:t>
      </w:r>
    </w:p>
    <w:p w:rsidR="004C2094" w:rsidRDefault="004C2094">
      <w:pPr>
        <w:spacing w:before="100" w:after="100" w:line="480" w:lineRule="auto"/>
      </w:pPr>
    </w:p>
    <w:p w:rsidR="004C2094" w:rsidRDefault="004C2094">
      <w:pPr>
        <w:spacing w:before="100" w:after="100" w:line="480" w:lineRule="auto"/>
      </w:pPr>
      <w:r>
        <w:t>John H. Zhang, M.D., Ph.D.</w:t>
      </w:r>
    </w:p>
    <w:p w:rsidR="004C2094" w:rsidRDefault="004C2094">
      <w:pPr>
        <w:spacing w:before="100" w:after="100" w:line="480" w:lineRule="auto"/>
      </w:pPr>
      <w:r>
        <w:t xml:space="preserve">Department of Physiology and Pharmacology, Anesthesiology, and Neurosurgery </w:t>
      </w:r>
    </w:p>
    <w:p w:rsidR="004C2094" w:rsidRDefault="004C2094">
      <w:pPr>
        <w:spacing w:before="100" w:after="100" w:line="480" w:lineRule="auto"/>
      </w:pPr>
      <w:r>
        <w:t>Loma Linda University School of Medicine</w:t>
      </w:r>
    </w:p>
    <w:p w:rsidR="004C2094" w:rsidRDefault="004C2094">
      <w:pPr>
        <w:spacing w:before="100" w:after="100" w:line="480" w:lineRule="auto"/>
      </w:pPr>
      <w:r>
        <w:t>jhzhang@llu.edu</w:t>
      </w:r>
    </w:p>
    <w:p w:rsidR="004C2094" w:rsidRDefault="004C2094">
      <w:pPr>
        <w:spacing w:before="100" w:after="100" w:line="480" w:lineRule="auto"/>
        <w:rPr>
          <w:b/>
          <w:bCs/>
        </w:rPr>
      </w:pPr>
      <w:r>
        <w:rPr>
          <w:b/>
          <w:bCs/>
        </w:rPr>
        <w:t>Corresponding author:</w:t>
      </w:r>
      <w:r>
        <w:t xml:space="preserve"> John H. Zhang, M.D., Ph.D.</w:t>
      </w:r>
    </w:p>
    <w:p w:rsidR="004C2094" w:rsidRDefault="004C2094">
      <w:pPr>
        <w:spacing w:before="100" w:after="100" w:line="480" w:lineRule="auto"/>
        <w:rPr>
          <w:b/>
          <w:bCs/>
        </w:rPr>
      </w:pPr>
      <w:r>
        <w:rPr>
          <w:b/>
          <w:bCs/>
        </w:rPr>
        <w:t>Keywords</w:t>
      </w:r>
      <w:r>
        <w:t>: Neuroprotection, Surgical Brain Injury, Brain Edema, Neurosurgery, Rat</w:t>
      </w:r>
    </w:p>
    <w:p w:rsidR="004C2094" w:rsidRDefault="004C2094">
      <w:pPr>
        <w:spacing w:before="100" w:after="100" w:line="480" w:lineRule="auto"/>
        <w:rPr>
          <w:b/>
          <w:bCs/>
        </w:rPr>
      </w:pPr>
      <w:r>
        <w:rPr>
          <w:b/>
          <w:bCs/>
        </w:rPr>
        <w:t>Short Abstract</w:t>
      </w:r>
      <w:r>
        <w:t>: Normal brain tissue incurs damage from surgical techniques during intracranial surgery, causing a unique set of postoperative issues. In this article, we describe a rodent model designed to better understand, treat, and possibly prevent these complications.</w:t>
      </w:r>
    </w:p>
    <w:p w:rsidR="004C2094" w:rsidRDefault="004C2094">
      <w:pPr>
        <w:spacing w:before="100" w:after="100" w:line="480" w:lineRule="auto"/>
        <w:rPr>
          <w:b/>
          <w:bCs/>
        </w:rPr>
      </w:pPr>
      <w:r>
        <w:rPr>
          <w:b/>
          <w:bCs/>
        </w:rPr>
        <w:t>Long Abstract</w:t>
      </w:r>
      <w:r>
        <w:t>:  Neurosurgery is often necessary to remove pathology from the brain.  The invasiveness of these procedures, coupled with the unique nature of the nervous system, leads to damage of normal tissue surrounding the resection site.  This surgical brain injury (SBI) results from tissue manipulation such as sharp dissection, retraction, electrocauterization, and any direct application of foreign material¹</w:t>
      </w:r>
      <w:r>
        <w:rPr>
          <w:vertAlign w:val="superscript"/>
        </w:rPr>
        <w:t>,</w:t>
      </w:r>
      <w:r>
        <w:t>².  The pathological sequelae from this trauma are brain edema, inflammation, necrosis, and apoptosis</w:t>
      </w:r>
      <w:r>
        <w:rPr>
          <w:vertAlign w:val="superscript"/>
        </w:rPr>
        <w:t>1-4</w:t>
      </w:r>
      <w:r>
        <w:t>.  Clinically, this can increase perioperative morbidity, length of stay in the critical care unit, neurological deficits, and possibly even mortality, while also limiting surgical resection areas for fear of encroaching injury causing irrevocable damage to important brain structures.  Therapeutic strategies for SBI have yet to be fully realized, and there are no other animal models to our knowledge that are being employed to address this particular issue.  In this article, we present a rodent model of SBI that uses an injury from a partial frontal lobectomy to study the molecular mechanisms involved, as well as to investigate potential therapeutic agents.  This model also provides for a consistently measurable and reversible neurological deficit that makes clinically relevant correlations possible.  Previous studies with this model have demonstrated that the major pathology involved is postoperative brain edema localized to the area surrounding the resection site</w:t>
      </w:r>
      <w:r>
        <w:rPr>
          <w:vertAlign w:val="superscript"/>
        </w:rPr>
        <w:t>1-5</w:t>
      </w:r>
      <w:r>
        <w:t xml:space="preserve">. </w:t>
      </w:r>
    </w:p>
    <w:p w:rsidR="004C2094" w:rsidRDefault="004C2094">
      <w:pPr>
        <w:spacing w:before="100" w:after="100" w:line="480" w:lineRule="auto"/>
        <w:rPr>
          <w:b/>
          <w:bCs/>
        </w:rPr>
      </w:pPr>
      <w:r>
        <w:rPr>
          <w:b/>
          <w:bCs/>
        </w:rPr>
        <w:t>Protocol:</w:t>
      </w:r>
    </w:p>
    <w:p w:rsidR="004C2094" w:rsidRDefault="004C2094">
      <w:pPr>
        <w:spacing w:before="100" w:after="100" w:line="480" w:lineRule="auto"/>
      </w:pPr>
      <w:r>
        <w:t xml:space="preserve">This protocol was evaluated and approved by the Institutional Animal Care and Use Committee at Loma Linda University.  Adult male Sprague-Dawley rats weighing 300-350 grams were maintained in a climate-controlled environment with 12-hour light/dark cycles and given standard rat chow and water ad libitum for at least three days prior to surgery.  </w:t>
      </w:r>
    </w:p>
    <w:p w:rsidR="004C2094" w:rsidRDefault="004C2094">
      <w:pPr>
        <w:spacing w:before="100" w:after="100" w:line="480" w:lineRule="auto"/>
        <w:rPr>
          <w:b/>
          <w:bCs/>
        </w:rPr>
      </w:pPr>
      <w:r>
        <w:rPr>
          <w:b/>
          <w:bCs/>
        </w:rPr>
        <w:t>Procedure</w:t>
      </w:r>
      <w:r>
        <w:t xml:space="preserve">:  </w:t>
      </w:r>
    </w:p>
    <w:p w:rsidR="004C2094" w:rsidRDefault="004C2094">
      <w:pPr>
        <w:spacing w:before="100" w:after="100" w:line="480" w:lineRule="auto"/>
        <w:rPr>
          <w:b/>
          <w:bCs/>
          <w:u w:val="single"/>
        </w:rPr>
      </w:pPr>
      <w:r>
        <w:rPr>
          <w:b/>
          <w:bCs/>
          <w:u w:val="single"/>
        </w:rPr>
        <w:t>1.  Surgical Brain Injury Preparation</w:t>
      </w:r>
    </w:p>
    <w:p w:rsidR="004C2094" w:rsidRDefault="004C2094">
      <w:pPr>
        <w:spacing w:before="100" w:after="100" w:line="480" w:lineRule="auto"/>
      </w:pPr>
      <w:r>
        <w:t>The preparation, use and appropriate handling of sterilized equipment are prerequisites for survival surgeries.</w:t>
      </w:r>
    </w:p>
    <w:p w:rsidR="004C2094" w:rsidRDefault="004C2094">
      <w:pPr>
        <w:spacing w:before="100" w:after="100" w:line="480" w:lineRule="auto"/>
      </w:pPr>
      <w:r>
        <w:t xml:space="preserve">1.1)  Anesthetize the rat in an induction chamber </w:t>
      </w:r>
      <w:r w:rsidRPr="00ED4C3D">
        <w:t>with 4.</w:t>
      </w:r>
      <w:r>
        <w:t>0</w:t>
      </w:r>
      <w:r w:rsidRPr="00ED4C3D">
        <w:t>%</w:t>
      </w:r>
      <w:r>
        <w:t xml:space="preserve"> isoflurane mixed with 70% medical air and 30% oxygen at 1 liter/min. </w:t>
      </w:r>
    </w:p>
    <w:p w:rsidR="004C2094" w:rsidRDefault="004C2094">
      <w:pPr>
        <w:spacing w:before="100" w:after="100" w:line="480" w:lineRule="auto"/>
      </w:pPr>
      <w:r>
        <w:t>1.2)  Shave the fur overlying the midline of the skull with electric clippers.</w:t>
      </w:r>
    </w:p>
    <w:p w:rsidR="004C2094" w:rsidRDefault="004C2094">
      <w:pPr>
        <w:spacing w:before="100" w:after="100" w:line="480" w:lineRule="auto"/>
      </w:pPr>
      <w:r>
        <w:t>1.3)  Place rat in the prone position on the stereotactic frame, place on maintenance anesthesia of 2.5% isoflurane with 70% medical air and 30% oxygen at 1 liter/min, and orient surgical site on microscope.</w:t>
      </w:r>
    </w:p>
    <w:p w:rsidR="004C2094" w:rsidRDefault="004C2094">
      <w:pPr>
        <w:spacing w:before="100" w:after="100" w:line="480" w:lineRule="auto"/>
      </w:pPr>
      <w:r>
        <w:t>1.4)  Disinfect the scalp by thorough betadine application using sterile cotton swabs or gauze.</w:t>
      </w:r>
    </w:p>
    <w:p w:rsidR="004C2094" w:rsidRDefault="004C2094">
      <w:pPr>
        <w:spacing w:before="100" w:after="100" w:line="480" w:lineRule="auto"/>
      </w:pPr>
      <w:r>
        <w:t xml:space="preserve">1.5)  Insert a rectal probe and maintain the body temperature at 36.5°C ± 0.5°C with a heating pad. Monitor respiratory rate throughout the procedure. </w:t>
      </w:r>
    </w:p>
    <w:p w:rsidR="004C2094" w:rsidRDefault="004C2094">
      <w:pPr>
        <w:spacing w:before="100" w:after="100" w:line="480" w:lineRule="auto"/>
      </w:pPr>
      <w:r>
        <w:t>1.6)  Confirm for surgical anesthesia by toe pinch withdrawal reflex.</w:t>
      </w:r>
    </w:p>
    <w:p w:rsidR="004C2094" w:rsidRDefault="004C2094">
      <w:pPr>
        <w:spacing w:before="100" w:after="100" w:line="480" w:lineRule="auto"/>
        <w:rPr>
          <w:b/>
          <w:bCs/>
          <w:u w:val="single"/>
        </w:rPr>
      </w:pPr>
      <w:r>
        <w:rPr>
          <w:b/>
          <w:bCs/>
          <w:u w:val="single"/>
        </w:rPr>
        <w:t>2.  Surgical Brain Injury Procedure</w:t>
      </w:r>
    </w:p>
    <w:p w:rsidR="004C2094" w:rsidRDefault="004C2094">
      <w:pPr>
        <w:spacing w:before="100" w:after="100" w:line="480" w:lineRule="auto"/>
      </w:pPr>
      <w:r>
        <w:t>2.1)  Make a midline sagittal scalp incision extending from in between the eyes to nearly between the ears.  Retract the skin using hemostats and dissect the underlying connective tissue.  Elevate and reflect the periosteum to expose the right frontal skull.</w:t>
      </w:r>
    </w:p>
    <w:p w:rsidR="004C2094" w:rsidRDefault="004C2094">
      <w:pPr>
        <w:spacing w:before="100" w:after="100" w:line="480" w:lineRule="auto"/>
      </w:pPr>
      <w:r>
        <w:t>2.2)  Identify a square operating area with a 5 mm edge on the frontal skull bone, with the lower left corner of the square lying at the bregma.  It may be helpful to score the target margins using a sterile 25-gauge needle tip bent to a 90° angle.</w:t>
      </w:r>
    </w:p>
    <w:p w:rsidR="004C2094" w:rsidRDefault="004C2094">
      <w:pPr>
        <w:spacing w:before="100" w:after="100" w:line="480" w:lineRule="auto"/>
      </w:pPr>
      <w:r>
        <w:t>2.3)  Using a micro-drill, thin the margins of the target area to translucency without penetrating the skull.  Carefully remove the bone flap using a bone elevator or fine-tipped forceps, without injuring the underlying dura mater.</w:t>
      </w:r>
    </w:p>
    <w:p w:rsidR="004C2094" w:rsidRDefault="004C2094">
      <w:pPr>
        <w:spacing w:before="100" w:after="100" w:line="480" w:lineRule="auto"/>
      </w:pPr>
      <w:r>
        <w:t>2.4)  Using a 22-gauge needle, incise the dura along the sagittal and coronal planes, following the resection margins of 2 mm lateral to the sagittal plane and 1 mm rostral to the coronal plane, and reflect.</w:t>
      </w:r>
    </w:p>
    <w:p w:rsidR="004C2094" w:rsidRDefault="004C2094">
      <w:pPr>
        <w:spacing w:before="100" w:after="100" w:line="480" w:lineRule="auto"/>
      </w:pPr>
      <w:r>
        <w:t>2.5)  Using a 22-gauge needle, incise the brain tissue along the same sagittal and coronal planes, following resection margins of 2 mm lateral to the sagittal plane and 1 mm rostral to the coronal plane.  Depth of resection is through the entire thickness of the frontal lobe, as measured by tactile sensation of the skull base against the needle tip.</w:t>
      </w:r>
    </w:p>
    <w:p w:rsidR="004C2094" w:rsidRDefault="004C2094">
      <w:pPr>
        <w:spacing w:before="100" w:after="100" w:line="480" w:lineRule="auto"/>
      </w:pPr>
      <w:r>
        <w:t xml:space="preserve">2.6)  Remove the sectioned right frontal lobe using gentle suction.  Continue resection and removal of the tissue until resection is completed to the skull base.  Irrigate with saline and suction once the resection is completed. </w:t>
      </w:r>
    </w:p>
    <w:p w:rsidR="004C2094" w:rsidRDefault="004C2094">
      <w:pPr>
        <w:spacing w:before="100" w:after="100" w:line="480" w:lineRule="auto"/>
      </w:pPr>
      <w:r>
        <w:t>2.7)  Insert sterile packing material into the full depth of the resection site and hold in place for a constant predetermined time to ensure hemostasis.</w:t>
      </w:r>
    </w:p>
    <w:p w:rsidR="004C2094" w:rsidRDefault="004C2094">
      <w:pPr>
        <w:spacing w:before="100" w:after="100" w:line="480" w:lineRule="auto"/>
      </w:pPr>
      <w:r>
        <w:t xml:space="preserve">2.8)  Apply electrocautery using a micro-tipped unipolar probe at a setting of 1 watt for a duration of 2 seconds at each margin.   </w:t>
      </w:r>
    </w:p>
    <w:p w:rsidR="004C2094" w:rsidRDefault="004C2094">
      <w:pPr>
        <w:spacing w:before="100" w:after="100" w:line="480" w:lineRule="auto"/>
      </w:pPr>
      <w:r>
        <w:t xml:space="preserve">2.9)  Examine for and control any bleeding.   </w:t>
      </w:r>
    </w:p>
    <w:p w:rsidR="004C2094" w:rsidRDefault="004C2094">
      <w:pPr>
        <w:spacing w:before="100" w:after="100" w:line="480" w:lineRule="auto"/>
      </w:pPr>
      <w:r>
        <w:t xml:space="preserve">2.10)  Replace the bone flap.  Close the skin with interrupted 3-0 silk sutures. </w:t>
      </w:r>
    </w:p>
    <w:p w:rsidR="004C2094" w:rsidRDefault="004C2094">
      <w:pPr>
        <w:spacing w:before="100" w:after="100" w:line="480" w:lineRule="auto"/>
      </w:pPr>
      <w:r>
        <w:t>2.11)  Inject 0.02-0.05 mg/kg of buprenorphine subcutaneously for post-operative analgesia.</w:t>
      </w:r>
    </w:p>
    <w:p w:rsidR="004C2094" w:rsidRDefault="004C2094">
      <w:pPr>
        <w:spacing w:before="100" w:after="100" w:line="480" w:lineRule="auto"/>
      </w:pPr>
      <w:r>
        <w:t>2.12)  Administer 1 ml of saline subcutaneously to hydrate the rat.</w:t>
      </w:r>
    </w:p>
    <w:p w:rsidR="004C2094" w:rsidRDefault="004C2094">
      <w:pPr>
        <w:spacing w:before="100" w:after="100" w:line="480" w:lineRule="auto"/>
      </w:pPr>
      <w:r>
        <w:t xml:space="preserve">2.13)  Carefully monitor recovery of the rat from anesthesia. </w:t>
      </w:r>
    </w:p>
    <w:p w:rsidR="004C2094" w:rsidRDefault="004C2094">
      <w:pPr>
        <w:spacing w:before="100" w:after="100" w:line="480" w:lineRule="auto"/>
        <w:rPr>
          <w:b/>
          <w:bCs/>
          <w:u w:val="single"/>
        </w:rPr>
      </w:pPr>
      <w:r>
        <w:rPr>
          <w:b/>
          <w:bCs/>
          <w:u w:val="single"/>
        </w:rPr>
        <w:t>3.  Sham Operation</w:t>
      </w:r>
    </w:p>
    <w:p w:rsidR="004C2094" w:rsidRDefault="004C2094">
      <w:pPr>
        <w:spacing w:before="100" w:after="100" w:line="480" w:lineRule="auto"/>
      </w:pPr>
      <w:r>
        <w:t>3.1)  For sham operations, follow the same procedure as outlined up through step 2.3, with preservation of the dura mater.  Continue with steps 2.10 through 2.13—replace the bone flap, close the overlying scalp, administer buprenorphine and saline, and monitor recovery from anesthesia.</w:t>
      </w:r>
    </w:p>
    <w:p w:rsidR="004C2094" w:rsidRDefault="004C2094">
      <w:pPr>
        <w:spacing w:before="100" w:after="100" w:line="480" w:lineRule="auto"/>
        <w:rPr>
          <w:b/>
          <w:bCs/>
          <w:u w:val="single"/>
        </w:rPr>
      </w:pPr>
      <w:r>
        <w:rPr>
          <w:b/>
          <w:bCs/>
          <w:u w:val="single"/>
        </w:rPr>
        <w:t xml:space="preserve">4.  Outcome/Representative Results: </w:t>
      </w:r>
    </w:p>
    <w:p w:rsidR="004C2094" w:rsidRDefault="004C2094">
      <w:pPr>
        <w:spacing w:before="100" w:after="100" w:line="480" w:lineRule="auto"/>
      </w:pPr>
      <w:r>
        <w:t>Following surgery, the remaining ipsilateral frontal lobe will demonstrate differing degrees of edema development. The ipsilateral parietal lobe may develop edema as well. Brain water content around the injured area will peak 24 hours postoperatively (Figure 2), and will begin to attenuate after three days with normal levels achieved at one to two weeks</w:t>
      </w:r>
      <w:r>
        <w:rPr>
          <w:rFonts w:ascii="Verdana" w:hAnsi="Verdana" w:cs="Verdana"/>
          <w:vertAlign w:val="superscript"/>
        </w:rPr>
        <w:t>2</w:t>
      </w:r>
      <w:r>
        <w:t>.  Because of this we study outcomes at 24 hours, especially when trying to decrease initial brain edema values.  Neurological tests are aimed at sensorimotor ability (e.g., Garcia test, vibrissae-elicited forelimb placement test, bilateral tactile stimulation test) and reveal consistent deficits in the contralateral forelimb and hindlimb, as shown in Figure 3</w:t>
      </w:r>
      <w:r>
        <w:rPr>
          <w:vertAlign w:val="superscript"/>
        </w:rPr>
        <w:t>6-8</w:t>
      </w:r>
      <w:r>
        <w:t xml:space="preserve">.  Typical neurological changes may be less severe than those shown in Figure 3B, but are still measured visually.  These deficits will also attenuate over the period of a week until normalized.  To obtain brain water content, the brain must be extracted and sectioned into respective regions (as shown in Figure 1), weighed immediately, dehydrated in a 100°C oven for 48 hours, and then weighed again to determine percentage of total brain water content (wet weight - dry weight/wet weight x 100).  As demonstrated in Figure 2, the contralateral hemisphere, cerebellum, and brainstem do not show edema formation, as they are located away from the right frontal lobe; </w:t>
      </w:r>
      <w:r w:rsidRPr="00F339E3">
        <w:t>however,</w:t>
      </w:r>
      <w:r>
        <w:t xml:space="preserve"> these values may be indicative of the consistency with which the model is being reproduced.  Inflammation, oxidative stress, necrosis, and apoptosis have all been shown in this model previously, though the impacts of these pathologies on clinical outcomes suggest that they play minor roles compared to brain edema</w:t>
      </w:r>
      <w:r>
        <w:rPr>
          <w:vertAlign w:val="superscript"/>
        </w:rPr>
        <w:t>1-5</w:t>
      </w:r>
      <w:r>
        <w:t xml:space="preserve">. </w:t>
      </w:r>
    </w:p>
    <w:p w:rsidR="004C2094" w:rsidRDefault="004C2094">
      <w:pPr>
        <w:spacing w:before="100" w:after="100" w:line="480" w:lineRule="auto"/>
        <w:rPr>
          <w:b/>
          <w:bCs/>
        </w:rPr>
      </w:pPr>
      <w:r>
        <w:rPr>
          <w:b/>
          <w:bCs/>
        </w:rPr>
        <w:t>Tables and Figures:</w:t>
      </w:r>
      <w:r>
        <w:t xml:space="preserve"> </w:t>
      </w:r>
    </w:p>
    <w:p w:rsidR="004C2094" w:rsidRDefault="004C2094">
      <w:pPr>
        <w:spacing w:before="100" w:after="100" w:line="480" w:lineRule="auto"/>
      </w:pPr>
      <w:r>
        <w:t>(Figure_1_SBI.psd)</w:t>
      </w:r>
    </w:p>
    <w:p w:rsidR="004C2094" w:rsidRDefault="004C2094">
      <w:pPr>
        <w:spacing w:before="100" w:after="100" w:line="480" w:lineRule="auto"/>
      </w:pPr>
      <w:r>
        <w:t>Figure 1.  Example of resection: A) Left Frontal Lobe, B) Right Frontal Lobe [resected] and area of pathological interest, C) Left Parietal Lobe, D) Right Parietal Lobe, E) Cerebellum, and F) Brain Stem.  Note the right frontal resection margins: 2 mm lateral of midline and 1 mm anterior of bregma.</w:t>
      </w:r>
    </w:p>
    <w:p w:rsidR="004C2094" w:rsidRDefault="004C2094">
      <w:pPr>
        <w:spacing w:before="100" w:after="100" w:line="480" w:lineRule="auto"/>
      </w:pPr>
      <w:r>
        <w:t>(Figure_2_SBI.psd)</w:t>
      </w:r>
    </w:p>
    <w:p w:rsidR="004C2094" w:rsidRDefault="004C2094">
      <w:pPr>
        <w:spacing w:before="100" w:after="100" w:line="480" w:lineRule="auto"/>
      </w:pPr>
      <w:r>
        <w:t>Figure 2.  Brain water content by brain regions: RF) Right Frontal, LF) Left Frontal, RP) Right Parietal, LP) Left Parietal, CB) Cerebellum, and BS) Brain Stem.  The asterisk (*) denotes p &lt; 0.01. (Sham n=22, SBI n=89).</w:t>
      </w:r>
    </w:p>
    <w:p w:rsidR="004C2094" w:rsidRDefault="004C2094">
      <w:pPr>
        <w:spacing w:before="100" w:after="100" w:line="480" w:lineRule="auto"/>
      </w:pPr>
      <w:r>
        <w:t>(Figure_3_SBI.psd)</w:t>
      </w:r>
    </w:p>
    <w:p w:rsidR="004C2094" w:rsidRDefault="004C2094">
      <w:pPr>
        <w:spacing w:before="100" w:after="100" w:line="480" w:lineRule="auto"/>
      </w:pPr>
      <w:r>
        <w:t>Figure 3.  Neurological Assessment: A) Modified Garcia score results.  The asterisk (*) denotes p &lt; 0.01.  (Sham n=18, SBI n=18). B) Demonstration of contralateral deficit.</w:t>
      </w:r>
    </w:p>
    <w:p w:rsidR="004C2094" w:rsidRDefault="004C2094">
      <w:pPr>
        <w:spacing w:before="100" w:after="100" w:line="480" w:lineRule="auto"/>
      </w:pPr>
    </w:p>
    <w:p w:rsidR="004C2094" w:rsidRDefault="004C2094">
      <w:pPr>
        <w:spacing w:before="100" w:after="100" w:line="480" w:lineRule="auto"/>
      </w:pPr>
    </w:p>
    <w:p w:rsidR="004C2094" w:rsidRDefault="004C2094">
      <w:pPr>
        <w:spacing w:before="100" w:after="100" w:line="480" w:lineRule="auto"/>
        <w:rPr>
          <w:b/>
          <w:bCs/>
          <w:u w:val="single"/>
        </w:rPr>
      </w:pPr>
      <w:r>
        <w:rPr>
          <w:b/>
          <w:bCs/>
          <w:u w:val="single"/>
        </w:rPr>
        <w:t>Discussion:</w:t>
      </w:r>
    </w:p>
    <w:p w:rsidR="004C2094" w:rsidRDefault="004C2094">
      <w:pPr>
        <w:spacing w:before="100" w:after="100" w:line="480" w:lineRule="auto"/>
      </w:pPr>
      <w:r>
        <w:t xml:space="preserve">The critical moments in this model are when completing the craniotomy window, dissecting the margins, and achieving hemostasis.  Unexpected or inappropriately located brain injury can occur during craniotomy via drill bit puncture.  Skull margins thinned to translucency without penetration and then light pressure applied to the bone window to assess progress should eliminate this error.  Correct margins are important for consistent neurological results.  Achieving hemostasis can be difficult due to the limited visibility and space in the cranial window.  Also, repeated packing can debride </w:t>
      </w:r>
      <w:r w:rsidRPr="00A82836">
        <w:t>tissue</w:t>
      </w:r>
      <w:r>
        <w:t>,</w:t>
      </w:r>
      <w:r w:rsidRPr="00A82836">
        <w:t xml:space="preserve"> which</w:t>
      </w:r>
      <w:r>
        <w:t xml:space="preserve"> may affect surgical margins.  Exceeding the margin limits may damage neighboring arteries, causing more bleeding. </w:t>
      </w:r>
    </w:p>
    <w:p w:rsidR="004C2094" w:rsidRDefault="004C2094">
      <w:pPr>
        <w:spacing w:before="100" w:after="100" w:line="480" w:lineRule="auto"/>
      </w:pPr>
      <w:r>
        <w:t>Intracranial surgery is very common, and to our knowledge this is the only model focused on surgically-induced brain injury.  Unlike many other forms of neurological injury, planned surgery allows for preemptive intervention.  This model enables the study of new therapies to improve patient outcomes, intraoperative techniques (e.g., achieving hemostasis), and perioperative morbidity and mortality.  The location of injury in this model provides a measurable and reversible neurological injury as edema, inflammation, etc. invade motor and sensory cortices.  One limitation is that it does not mimic specific neurosurgeries; however, the goal of this model is to provide general information about surgical brain injury that can be used in most intracranial surgeries, instea</w:t>
      </w:r>
      <w:bookmarkStart w:id="0" w:name="_GoBack"/>
      <w:bookmarkEnd w:id="0"/>
      <w:r>
        <w:t>d of focusing on a certain procedure.</w:t>
      </w:r>
    </w:p>
    <w:p w:rsidR="004C2094" w:rsidRDefault="004C2094">
      <w:pPr>
        <w:spacing w:before="100" w:after="100" w:line="480" w:lineRule="auto"/>
      </w:pPr>
      <w:r>
        <w:t>Modifications to this model are possible; for example, retractor and stretch injuries can be incorporated, and depth of resection can be changed.  Currently, neuroprotective agents found by other neurological injury models are being tested in this model.  As our knowledge of the pathology associated with surgical brain injury increases, new therapies can be incorporated regularly into neurosurgical perioperative care, as well as neurological critical care.</w:t>
      </w:r>
    </w:p>
    <w:p w:rsidR="004C2094" w:rsidRDefault="004C2094">
      <w:pPr>
        <w:spacing w:before="100" w:after="100" w:line="480" w:lineRule="auto"/>
        <w:rPr>
          <w:b/>
          <w:bCs/>
        </w:rPr>
      </w:pPr>
      <w:r>
        <w:rPr>
          <w:b/>
          <w:bCs/>
        </w:rPr>
        <w:t>Acknowledgments:</w:t>
      </w:r>
      <w:r>
        <w:t xml:space="preserve"> </w:t>
      </w:r>
    </w:p>
    <w:p w:rsidR="004C2094" w:rsidRDefault="004C2094">
      <w:pPr>
        <w:spacing w:before="100" w:after="100" w:line="480" w:lineRule="auto"/>
        <w:rPr>
          <w:b/>
          <w:bCs/>
        </w:rPr>
      </w:pPr>
      <w:r>
        <w:rPr>
          <w:b/>
          <w:bCs/>
        </w:rPr>
        <w:t>Disclosures:</w:t>
      </w:r>
      <w:r>
        <w:t xml:space="preserve"> The authors have no conflicts of interest to disclose.</w:t>
      </w:r>
    </w:p>
    <w:p w:rsidR="004C2094" w:rsidRDefault="004C2094">
      <w:pPr>
        <w:spacing w:before="100" w:after="100" w:line="480" w:lineRule="auto"/>
        <w:rPr>
          <w:b/>
          <w:bCs/>
        </w:rPr>
      </w:pPr>
      <w:r>
        <w:rPr>
          <w:b/>
          <w:bCs/>
        </w:rPr>
        <w:t>Equipment:</w:t>
      </w:r>
    </w:p>
    <w:p w:rsidR="004C2094" w:rsidRDefault="004C2094">
      <w:pPr>
        <w:spacing w:before="100" w:after="100" w:line="480" w:lineRule="auto"/>
      </w:pPr>
      <w:r>
        <w:t>Micro Drill (Fine Science Tools, Foster City, CA, USA)</w:t>
      </w:r>
    </w:p>
    <w:p w:rsidR="004C2094" w:rsidRDefault="004C2094">
      <w:pPr>
        <w:spacing w:before="100" w:after="100" w:line="480" w:lineRule="auto"/>
      </w:pPr>
      <w:r>
        <w:t>Electrocautery (Veterinary Electrosurgical Unit, Macan, Chicago, IL, USA)</w:t>
      </w:r>
    </w:p>
    <w:p w:rsidR="004C2094" w:rsidRDefault="004C2094">
      <w:pPr>
        <w:spacing w:before="100" w:after="100" w:line="480" w:lineRule="auto"/>
      </w:pPr>
      <w:r>
        <w:t>Stereotaxic Frame (Benchmark)</w:t>
      </w:r>
    </w:p>
    <w:p w:rsidR="004C2094" w:rsidRDefault="004C2094">
      <w:pPr>
        <w:spacing w:before="100" w:after="100" w:line="480" w:lineRule="auto"/>
      </w:pPr>
      <w:r>
        <w:t>Isoflurane Vaporizer (Whittemore Enterprises, Inc., Rancho Cucamonga, CA, USA)</w:t>
      </w:r>
    </w:p>
    <w:p w:rsidR="004C2094" w:rsidRDefault="004C2094">
      <w:pPr>
        <w:spacing w:before="100" w:after="100" w:line="480" w:lineRule="auto"/>
      </w:pPr>
      <w:r>
        <w:t>Trinocular Microscope on Boom (Certificate No.AE993330901, China)</w:t>
      </w:r>
    </w:p>
    <w:p w:rsidR="004C2094" w:rsidRDefault="004C2094">
      <w:pPr>
        <w:spacing w:before="100" w:after="100" w:line="480" w:lineRule="auto"/>
      </w:pPr>
      <w:r>
        <w:t>Digital Rectal Thermometer (Model BAT-12, Physitemp Instruments, Inc., Clifton, NJ, USA)</w:t>
      </w:r>
    </w:p>
    <w:p w:rsidR="004C2094" w:rsidRDefault="004C2094">
      <w:pPr>
        <w:spacing w:before="100" w:after="100" w:line="480" w:lineRule="auto"/>
        <w:rPr>
          <w:b/>
          <w:bCs/>
        </w:rPr>
      </w:pPr>
      <w:r>
        <w:rPr>
          <w:b/>
          <w:bCs/>
        </w:rPr>
        <w:t>References:</w:t>
      </w:r>
      <w:r>
        <w:t xml:space="preserve">  </w:t>
      </w:r>
    </w:p>
    <w:p w:rsidR="004C2094" w:rsidRDefault="004C2094">
      <w:pPr>
        <w:spacing w:before="100" w:after="100" w:line="480" w:lineRule="auto"/>
      </w:pPr>
      <w:r>
        <w:t xml:space="preserve">1.  Matchett, G., Hahn, J., Obenaus, A. &amp; Zhang, J. Surgically induced brain injury in rats: the effect of erythropoietin. </w:t>
      </w:r>
      <w:r w:rsidRPr="00C41243">
        <w:rPr>
          <w:i/>
          <w:iCs/>
        </w:rPr>
        <w:t>J. Neurosci. Methods</w:t>
      </w:r>
      <w:r>
        <w:t xml:space="preserve"> </w:t>
      </w:r>
      <w:r w:rsidRPr="00DD2376">
        <w:rPr>
          <w:b/>
          <w:bCs/>
        </w:rPr>
        <w:t>158</w:t>
      </w:r>
      <w:r>
        <w:t>, 234-241 (2006).</w:t>
      </w:r>
    </w:p>
    <w:p w:rsidR="004C2094" w:rsidRDefault="004C2094">
      <w:pPr>
        <w:spacing w:before="100" w:after="100" w:line="480" w:lineRule="auto"/>
      </w:pPr>
      <w:r>
        <w:t xml:space="preserve">2. Jadhav, V., Solaroglu, I., Obenaus, A. &amp; Zhang, J.H. Neuroprotection against surgically induced brain injury. </w:t>
      </w:r>
      <w:r w:rsidRPr="00C41243">
        <w:rPr>
          <w:i/>
          <w:iCs/>
        </w:rPr>
        <w:t>Surg. Neurol.</w:t>
      </w:r>
      <w:r>
        <w:t xml:space="preserve"> </w:t>
      </w:r>
      <w:r w:rsidRPr="00DD2376">
        <w:rPr>
          <w:b/>
          <w:bCs/>
        </w:rPr>
        <w:t>67</w:t>
      </w:r>
      <w:r>
        <w:t xml:space="preserve">, 15-20 </w:t>
      </w:r>
      <w:r w:rsidRPr="00C41243">
        <w:t>(</w:t>
      </w:r>
      <w:r>
        <w:t>2007).</w:t>
      </w:r>
    </w:p>
    <w:p w:rsidR="004C2094" w:rsidRDefault="004C2094">
      <w:pPr>
        <w:spacing w:before="100" w:after="100" w:line="480" w:lineRule="auto"/>
      </w:pPr>
      <w:r>
        <w:t xml:space="preserve">3. Lo, W., Bravo, T., Jadhav, V. &amp; Zhang, J.H. NADPH oxidase inhibition improves neurological outcomes in surgically-induced brain injury. </w:t>
      </w:r>
      <w:r w:rsidRPr="00C41243">
        <w:rPr>
          <w:i/>
          <w:iCs/>
        </w:rPr>
        <w:t>Neurosci</w:t>
      </w:r>
      <w:r>
        <w:rPr>
          <w:i/>
          <w:iCs/>
        </w:rPr>
        <w:t>.</w:t>
      </w:r>
      <w:r w:rsidRPr="00C41243">
        <w:rPr>
          <w:i/>
          <w:iCs/>
        </w:rPr>
        <w:t xml:space="preserve"> Lett</w:t>
      </w:r>
      <w:r>
        <w:rPr>
          <w:i/>
          <w:iCs/>
        </w:rPr>
        <w:t>.</w:t>
      </w:r>
      <w:r>
        <w:t xml:space="preserve"> </w:t>
      </w:r>
      <w:r w:rsidRPr="00DD2376">
        <w:rPr>
          <w:b/>
          <w:bCs/>
        </w:rPr>
        <w:t>414</w:t>
      </w:r>
      <w:r>
        <w:t>, 228-232 (2007).</w:t>
      </w:r>
    </w:p>
    <w:p w:rsidR="004C2094" w:rsidRDefault="004C2094">
      <w:pPr>
        <w:spacing w:before="100" w:after="100" w:line="480" w:lineRule="auto"/>
      </w:pPr>
      <w:r>
        <w:t xml:space="preserve">4. Hyong, A. </w:t>
      </w:r>
      <w:r>
        <w:rPr>
          <w:i/>
          <w:iCs/>
        </w:rPr>
        <w:t>et al</w:t>
      </w:r>
      <w:r>
        <w:t xml:space="preserve">. Rosiglitazone, a PPAR gamma agonist, attenuates inflammation after surgical brain injury in rodents. </w:t>
      </w:r>
      <w:r w:rsidRPr="006E34AE">
        <w:rPr>
          <w:i/>
          <w:iCs/>
        </w:rPr>
        <w:t>Brain Res.</w:t>
      </w:r>
      <w:r>
        <w:t xml:space="preserve"> </w:t>
      </w:r>
      <w:r w:rsidRPr="00DD2376">
        <w:rPr>
          <w:b/>
          <w:bCs/>
        </w:rPr>
        <w:t>1215</w:t>
      </w:r>
      <w:r>
        <w:t>, 218-224 (2008).</w:t>
      </w:r>
    </w:p>
    <w:p w:rsidR="004C2094" w:rsidRDefault="004C2094">
      <w:pPr>
        <w:spacing w:line="480" w:lineRule="auto"/>
      </w:pPr>
      <w:r>
        <w:t xml:space="preserve">5. Jadhav, V. </w:t>
      </w:r>
      <w:r>
        <w:rPr>
          <w:i/>
          <w:iCs/>
        </w:rPr>
        <w:t>et al</w:t>
      </w:r>
      <w:r>
        <w:t xml:space="preserve">. Cyclo-oxygenase-2 mediates hyperbaric oxygen preconditioning-induced neuroprotection in the mouse model of surgical brain injury. </w:t>
      </w:r>
      <w:r w:rsidRPr="00EA7673">
        <w:rPr>
          <w:i/>
          <w:iCs/>
        </w:rPr>
        <w:t>Stroke</w:t>
      </w:r>
      <w:r>
        <w:t xml:space="preserve"> </w:t>
      </w:r>
      <w:r w:rsidRPr="00DD2376">
        <w:rPr>
          <w:b/>
          <w:bCs/>
        </w:rPr>
        <w:t>40</w:t>
      </w:r>
      <w:r>
        <w:t>, 3139-3142 (2009).</w:t>
      </w:r>
    </w:p>
    <w:p w:rsidR="004C2094" w:rsidRDefault="004C2094">
      <w:pPr>
        <w:spacing w:before="100" w:after="100" w:line="480" w:lineRule="auto"/>
      </w:pPr>
      <w:r>
        <w:t xml:space="preserve">6. Garcia, J.H., Wagner, S., Liu, K.F. &amp; Hu, X.J. Neurological deficit and extent of neuronal necrosis attributable to middle cerebral artery occlusion in rats. Statistical validation. </w:t>
      </w:r>
      <w:r w:rsidRPr="00A1251D">
        <w:rPr>
          <w:i/>
          <w:iCs/>
        </w:rPr>
        <w:t>Stroke</w:t>
      </w:r>
      <w:r>
        <w:t xml:space="preserve"> </w:t>
      </w:r>
      <w:r w:rsidRPr="00A1251D">
        <w:rPr>
          <w:b/>
          <w:bCs/>
        </w:rPr>
        <w:t>26</w:t>
      </w:r>
      <w:r>
        <w:t>, 627-634 (1995).</w:t>
      </w:r>
    </w:p>
    <w:p w:rsidR="004C2094" w:rsidRDefault="004C2094">
      <w:pPr>
        <w:spacing w:before="100" w:after="100" w:line="480" w:lineRule="auto"/>
      </w:pPr>
      <w:r>
        <w:t xml:space="preserve">7. Schallert, T., Fleming, S.M., Leasure, J.L., Tillerson, J.L. &amp; Bland, S.T. CNS plasticity and assessment of forelimb sensorimotor outcome in unilateral rat models of stroke, cortical ablation, parkinsonism and spinal cord injury. </w:t>
      </w:r>
      <w:r w:rsidRPr="008167EA">
        <w:rPr>
          <w:i/>
          <w:iCs/>
        </w:rPr>
        <w:t>Neuropharmacol</w:t>
      </w:r>
      <w:r>
        <w:t xml:space="preserve">. </w:t>
      </w:r>
      <w:r w:rsidRPr="008167EA">
        <w:rPr>
          <w:b/>
          <w:bCs/>
        </w:rPr>
        <w:t>39</w:t>
      </w:r>
      <w:r>
        <w:t>, 777-787 (2000).</w:t>
      </w:r>
    </w:p>
    <w:p w:rsidR="004C2094" w:rsidRDefault="004C2094">
      <w:pPr>
        <w:spacing w:before="100" w:after="100" w:line="480" w:lineRule="auto"/>
      </w:pPr>
      <w:r>
        <w:t xml:space="preserve">8. Schallert, T. &amp; Whishaw, I.Q. Bilateral cutaneous stimulation of the somatosensory system in hemidecorticate rats. </w:t>
      </w:r>
      <w:r w:rsidRPr="00C83F4B">
        <w:rPr>
          <w:i/>
          <w:iCs/>
        </w:rPr>
        <w:t>Behav. Neurosci</w:t>
      </w:r>
      <w:r>
        <w:t xml:space="preserve">. </w:t>
      </w:r>
      <w:r w:rsidRPr="00BE32E3">
        <w:rPr>
          <w:b/>
          <w:bCs/>
        </w:rPr>
        <w:t>98</w:t>
      </w:r>
      <w:r>
        <w:t xml:space="preserve">, 518-540 (1984). </w:t>
      </w:r>
    </w:p>
    <w:p w:rsidR="004C2094" w:rsidRDefault="004C2094">
      <w:pPr>
        <w:spacing w:before="100" w:after="100" w:line="480" w:lineRule="auto"/>
      </w:pPr>
      <w:r>
        <w:t>9. Bravo, T.P.</w:t>
      </w:r>
      <w:r w:rsidRPr="00E1206F">
        <w:rPr>
          <w:i/>
          <w:iCs/>
        </w:rPr>
        <w:t xml:space="preserve"> </w:t>
      </w:r>
      <w:r>
        <w:rPr>
          <w:i/>
          <w:iCs/>
        </w:rPr>
        <w:t>et al</w:t>
      </w:r>
      <w:r>
        <w:t xml:space="preserve">. Role of histamine in brain protection in surgical brain injury in mice. </w:t>
      </w:r>
      <w:r w:rsidRPr="00D26C0A">
        <w:rPr>
          <w:i/>
          <w:iCs/>
        </w:rPr>
        <w:t>Brain Res</w:t>
      </w:r>
      <w:r>
        <w:t xml:space="preserve">. </w:t>
      </w:r>
      <w:r w:rsidRPr="00D26C0A">
        <w:rPr>
          <w:b/>
          <w:bCs/>
        </w:rPr>
        <w:t>1205</w:t>
      </w:r>
      <w:r>
        <w:t>, 100-107 (2008).</w:t>
      </w:r>
    </w:p>
    <w:p w:rsidR="004C2094" w:rsidRDefault="004C2094">
      <w:pPr>
        <w:spacing w:before="100" w:after="100" w:line="480" w:lineRule="auto"/>
      </w:pPr>
      <w:bookmarkStart w:id="1" w:name="id_ca2e57518a26"/>
      <w:bookmarkEnd w:id="1"/>
      <w:r>
        <w:t>10.  Di, F.</w:t>
      </w:r>
      <w:r w:rsidRPr="00260E35">
        <w:rPr>
          <w:i/>
          <w:iCs/>
        </w:rPr>
        <w:t xml:space="preserve"> </w:t>
      </w:r>
      <w:r>
        <w:rPr>
          <w:i/>
          <w:iCs/>
        </w:rPr>
        <w:t>et al</w:t>
      </w:r>
      <w:r>
        <w:t xml:space="preserve">. Role of aminoguanidine in brain protection in surgical brain injury in rat. </w:t>
      </w:r>
      <w:r w:rsidRPr="008C2E75">
        <w:rPr>
          <w:i/>
          <w:iCs/>
        </w:rPr>
        <w:t>Neurosci</w:t>
      </w:r>
      <w:r>
        <w:rPr>
          <w:i/>
          <w:iCs/>
        </w:rPr>
        <w:t>.</w:t>
      </w:r>
      <w:r w:rsidRPr="008C2E75">
        <w:rPr>
          <w:i/>
          <w:iCs/>
        </w:rPr>
        <w:t xml:space="preserve"> Lett</w:t>
      </w:r>
      <w:r>
        <w:t xml:space="preserve">. </w:t>
      </w:r>
      <w:r w:rsidRPr="008C2E75">
        <w:rPr>
          <w:b/>
          <w:bCs/>
        </w:rPr>
        <w:t>448</w:t>
      </w:r>
      <w:r>
        <w:t>, 204-207 (2008).</w:t>
      </w:r>
    </w:p>
    <w:p w:rsidR="004C2094" w:rsidRDefault="004C2094">
      <w:pPr>
        <w:spacing w:before="100" w:after="100" w:line="480" w:lineRule="auto"/>
      </w:pPr>
      <w:r>
        <w:t xml:space="preserve">11.  Frontczak-Baniewicz, M., Walski, M. &amp; Sulejczak, D. Diversity of immunophenotypes of endothelial cells participating in new vessel formation following surgical rat brain injury. </w:t>
      </w:r>
      <w:r w:rsidRPr="0001770D">
        <w:rPr>
          <w:i/>
          <w:iCs/>
        </w:rPr>
        <w:t>J. Physiol. Pharmacol</w:t>
      </w:r>
      <w:r>
        <w:t xml:space="preserve">. </w:t>
      </w:r>
      <w:r w:rsidRPr="0001770D">
        <w:rPr>
          <w:b/>
          <w:bCs/>
        </w:rPr>
        <w:t>58</w:t>
      </w:r>
      <w:r>
        <w:t>, 193-203 (2007).</w:t>
      </w:r>
    </w:p>
    <w:p w:rsidR="004C2094" w:rsidRDefault="004C2094">
      <w:pPr>
        <w:spacing w:before="100" w:after="100" w:line="480" w:lineRule="auto"/>
      </w:pPr>
      <w:r>
        <w:t xml:space="preserve">12.  Hao, W., Wu, X.Q. &amp; Xu, R.T. The molecular mechanism of aminoguanidine-mediated reduction on the brain edema after surgical brain injury in rats. </w:t>
      </w:r>
      <w:r w:rsidRPr="00A23BB6">
        <w:rPr>
          <w:i/>
          <w:iCs/>
        </w:rPr>
        <w:t>Brain Res</w:t>
      </w:r>
      <w:r>
        <w:t xml:space="preserve">. </w:t>
      </w:r>
      <w:r w:rsidRPr="00A23BB6">
        <w:rPr>
          <w:b/>
          <w:bCs/>
        </w:rPr>
        <w:t>1282</w:t>
      </w:r>
      <w:r>
        <w:t>, 156-161 (2009).</w:t>
      </w:r>
    </w:p>
    <w:p w:rsidR="004C2094" w:rsidRDefault="004C2094">
      <w:pPr>
        <w:spacing w:before="100" w:after="100" w:line="480" w:lineRule="auto"/>
      </w:pPr>
      <w:r>
        <w:t xml:space="preserve">13.  Jadhav, V., Yamaguchi, M., Obenaus, A. &amp; Zhang, J.H. Matrix metalloproteinase inhibition attenuates brain edema after surgical brain injury. </w:t>
      </w:r>
      <w:r w:rsidRPr="00997DA4">
        <w:rPr>
          <w:i/>
          <w:iCs/>
        </w:rPr>
        <w:t>Acta Neurochir Suppl</w:t>
      </w:r>
      <w:r>
        <w:t xml:space="preserve">. </w:t>
      </w:r>
      <w:r w:rsidRPr="00997DA4">
        <w:rPr>
          <w:b/>
          <w:bCs/>
        </w:rPr>
        <w:t>102</w:t>
      </w:r>
      <w:r>
        <w:t>, 357-361 (2008).</w:t>
      </w:r>
    </w:p>
    <w:p w:rsidR="004C2094" w:rsidRDefault="004C2094">
      <w:pPr>
        <w:spacing w:before="100" w:after="100" w:line="480" w:lineRule="auto"/>
      </w:pPr>
      <w:r>
        <w:t>14.  Jadhav, V.</w:t>
      </w:r>
      <w:r w:rsidRPr="000D0BF5">
        <w:rPr>
          <w:i/>
          <w:iCs/>
        </w:rPr>
        <w:t xml:space="preserve"> </w:t>
      </w:r>
      <w:r>
        <w:rPr>
          <w:i/>
          <w:iCs/>
        </w:rPr>
        <w:t>et al</w:t>
      </w:r>
      <w:r>
        <w:t xml:space="preserve">. Hyperbaric oxygen preconditioning reduces postoperative brain edema and improves neurological outcomes after surgical brain injury. </w:t>
      </w:r>
      <w:r w:rsidRPr="004F53CD">
        <w:rPr>
          <w:i/>
          <w:iCs/>
        </w:rPr>
        <w:t>Acta Neurochir</w:t>
      </w:r>
      <w:r>
        <w:rPr>
          <w:i/>
          <w:iCs/>
        </w:rPr>
        <w:t>.</w:t>
      </w:r>
      <w:r w:rsidRPr="004F53CD">
        <w:rPr>
          <w:i/>
          <w:iCs/>
        </w:rPr>
        <w:t xml:space="preserve"> Suppl</w:t>
      </w:r>
      <w:r>
        <w:t xml:space="preserve">. </w:t>
      </w:r>
      <w:r w:rsidRPr="004F53CD">
        <w:rPr>
          <w:b/>
          <w:bCs/>
        </w:rPr>
        <w:t>106</w:t>
      </w:r>
      <w:r>
        <w:t>, 217-220 (2010).</w:t>
      </w:r>
    </w:p>
    <w:p w:rsidR="004C2094" w:rsidRDefault="004C2094" w:rsidP="00806BD0">
      <w:pPr>
        <w:spacing w:before="100" w:after="100" w:line="480" w:lineRule="auto"/>
      </w:pPr>
      <w:r>
        <w:t xml:space="preserve">15.  Lee, S. </w:t>
      </w:r>
      <w:r>
        <w:rPr>
          <w:i/>
          <w:iCs/>
        </w:rPr>
        <w:t>et al</w:t>
      </w:r>
      <w:r>
        <w:t xml:space="preserve">. Dual effects of melatonin on oxidative stress after surgical brain injury in rats. </w:t>
      </w:r>
      <w:r w:rsidRPr="00806BD0">
        <w:rPr>
          <w:i/>
          <w:iCs/>
        </w:rPr>
        <w:t>J. Pineal. Res</w:t>
      </w:r>
      <w:r>
        <w:t xml:space="preserve">. </w:t>
      </w:r>
      <w:r w:rsidRPr="009A78B8">
        <w:rPr>
          <w:b/>
          <w:bCs/>
        </w:rPr>
        <w:t>46</w:t>
      </w:r>
      <w:r>
        <w:t xml:space="preserve">, 43-48 (2009). </w:t>
      </w:r>
    </w:p>
    <w:p w:rsidR="004C2094" w:rsidRDefault="004C2094">
      <w:pPr>
        <w:spacing w:before="100" w:after="100" w:line="480" w:lineRule="auto"/>
      </w:pPr>
      <w:r>
        <w:t xml:space="preserve">16.  Sulejczak, D., Grieb, P., Walski, M. &amp; Frontczak-Baniewicz, M. Apoptotic death of cortical neurons following surgical brain injury. </w:t>
      </w:r>
      <w:r w:rsidRPr="00806BD0">
        <w:rPr>
          <w:i/>
          <w:iCs/>
        </w:rPr>
        <w:t>Folia Neuropathol</w:t>
      </w:r>
      <w:r>
        <w:t xml:space="preserve">. </w:t>
      </w:r>
      <w:r w:rsidRPr="00A06E27">
        <w:rPr>
          <w:b/>
          <w:bCs/>
        </w:rPr>
        <w:t>46</w:t>
      </w:r>
      <w:r>
        <w:t>, 213-219 (2008).</w:t>
      </w:r>
    </w:p>
    <w:sectPr w:rsidR="004C2094" w:rsidSect="00ED4C3D">
      <w:headerReference w:type="default" r:id="rId21"/>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094" w:rsidRDefault="004C2094">
      <w:pPr>
        <w:spacing w:after="0" w:line="240" w:lineRule="auto"/>
      </w:pPr>
      <w:r>
        <w:separator/>
      </w:r>
    </w:p>
  </w:endnote>
  <w:endnote w:type="continuationSeparator" w:id="0">
    <w:p w:rsidR="004C2094" w:rsidRDefault="004C20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094" w:rsidRDefault="004C2094">
      <w:pPr>
        <w:spacing w:after="0" w:line="240" w:lineRule="auto"/>
      </w:pPr>
      <w:r>
        <w:separator/>
      </w:r>
    </w:p>
  </w:footnote>
  <w:footnote w:type="continuationSeparator" w:id="0">
    <w:p w:rsidR="004C2094" w:rsidRDefault="004C20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094" w:rsidRDefault="004C2094" w:rsidP="00006078">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C2094" w:rsidRDefault="004C2094" w:rsidP="00ED4C3D">
    <w:pP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B3E"/>
    <w:rsid w:val="00006078"/>
    <w:rsid w:val="0001770D"/>
    <w:rsid w:val="000223DB"/>
    <w:rsid w:val="000A3BB5"/>
    <w:rsid w:val="000A6FDC"/>
    <w:rsid w:val="000B2B90"/>
    <w:rsid w:val="000D0BF5"/>
    <w:rsid w:val="0014558E"/>
    <w:rsid w:val="001C5E50"/>
    <w:rsid w:val="002478D5"/>
    <w:rsid w:val="00260E35"/>
    <w:rsid w:val="002D3730"/>
    <w:rsid w:val="0032380F"/>
    <w:rsid w:val="003C021D"/>
    <w:rsid w:val="00402D55"/>
    <w:rsid w:val="00426054"/>
    <w:rsid w:val="004C2094"/>
    <w:rsid w:val="004C43B5"/>
    <w:rsid w:val="004F4CFC"/>
    <w:rsid w:val="004F53CD"/>
    <w:rsid w:val="00541765"/>
    <w:rsid w:val="005C6312"/>
    <w:rsid w:val="006E34AE"/>
    <w:rsid w:val="006F1BD2"/>
    <w:rsid w:val="007D2A37"/>
    <w:rsid w:val="00806BD0"/>
    <w:rsid w:val="008167EA"/>
    <w:rsid w:val="008A542C"/>
    <w:rsid w:val="008C2E75"/>
    <w:rsid w:val="00997DA4"/>
    <w:rsid w:val="009A78B8"/>
    <w:rsid w:val="00A06E27"/>
    <w:rsid w:val="00A1251D"/>
    <w:rsid w:val="00A23BB6"/>
    <w:rsid w:val="00A77B3E"/>
    <w:rsid w:val="00A82836"/>
    <w:rsid w:val="00A858C5"/>
    <w:rsid w:val="00B41914"/>
    <w:rsid w:val="00BE32E3"/>
    <w:rsid w:val="00C04C2F"/>
    <w:rsid w:val="00C17DB9"/>
    <w:rsid w:val="00C41243"/>
    <w:rsid w:val="00C83F4B"/>
    <w:rsid w:val="00C85535"/>
    <w:rsid w:val="00D21415"/>
    <w:rsid w:val="00D26C0A"/>
    <w:rsid w:val="00D77035"/>
    <w:rsid w:val="00DD2376"/>
    <w:rsid w:val="00E10A35"/>
    <w:rsid w:val="00E1206F"/>
    <w:rsid w:val="00E92769"/>
    <w:rsid w:val="00EA7673"/>
    <w:rsid w:val="00ED4C3D"/>
    <w:rsid w:val="00F339E3"/>
    <w:rsid w:val="00F42210"/>
    <w:rsid w:val="00F94F52"/>
    <w:rsid w:val="00F96B2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E50"/>
    <w:pPr>
      <w:spacing w:after="200" w:line="276" w:lineRule="auto"/>
    </w:pPr>
    <w:rPr>
      <w:rFonts w:ascii="Calibri" w:hAnsi="Calibri" w:cs="Calibri"/>
      <w:color w:val="000000"/>
    </w:rPr>
  </w:style>
  <w:style w:type="paragraph" w:styleId="Heading1">
    <w:name w:val="heading 1"/>
    <w:basedOn w:val="Normal"/>
    <w:next w:val="Normal"/>
    <w:link w:val="Heading1Char"/>
    <w:uiPriority w:val="99"/>
    <w:qFormat/>
    <w:pPr>
      <w:spacing w:before="240" w:after="60" w:line="240" w:lineRule="auto"/>
      <w:outlineLvl w:val="0"/>
    </w:pPr>
    <w:rPr>
      <w:rFonts w:ascii="Arial" w:hAnsi="Arial" w:cs="Arial"/>
      <w:b/>
      <w:bCs/>
      <w:sz w:val="32"/>
      <w:szCs w:val="32"/>
    </w:rPr>
  </w:style>
  <w:style w:type="paragraph" w:styleId="Heading2">
    <w:name w:val="heading 2"/>
    <w:basedOn w:val="Normal"/>
    <w:next w:val="Normal"/>
    <w:link w:val="Heading2Char"/>
    <w:uiPriority w:val="99"/>
    <w:qFormat/>
    <w:pPr>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uiPriority w:val="99"/>
    <w:qFormat/>
    <w:pPr>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uiPriority w:val="99"/>
    <w:qFormat/>
    <w:pPr>
      <w:spacing w:before="240" w:after="60" w:line="240" w:lineRule="auto"/>
      <w:outlineLvl w:val="3"/>
    </w:pPr>
    <w:rPr>
      <w:b/>
      <w:bCs/>
      <w:sz w:val="28"/>
      <w:szCs w:val="28"/>
    </w:rPr>
  </w:style>
  <w:style w:type="paragraph" w:styleId="Heading5">
    <w:name w:val="heading 5"/>
    <w:basedOn w:val="Normal"/>
    <w:next w:val="Normal"/>
    <w:link w:val="Heading5Char"/>
    <w:uiPriority w:val="99"/>
    <w:qFormat/>
    <w:pPr>
      <w:spacing w:before="240" w:after="60" w:line="240" w:lineRule="auto"/>
      <w:outlineLvl w:val="4"/>
    </w:pPr>
    <w:rPr>
      <w:b/>
      <w:bCs/>
      <w:i/>
      <w:iCs/>
      <w:sz w:val="26"/>
      <w:szCs w:val="26"/>
    </w:rPr>
  </w:style>
  <w:style w:type="paragraph" w:styleId="Heading6">
    <w:name w:val="heading 6"/>
    <w:basedOn w:val="Normal"/>
    <w:next w:val="Normal"/>
    <w:link w:val="Heading6Char"/>
    <w:uiPriority w:val="99"/>
    <w:qFormat/>
    <w:pPr>
      <w:spacing w:before="240" w:after="60" w:line="240" w:lineRule="auto"/>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BCD"/>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9D5BCD"/>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9D5BCD"/>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9D5BCD"/>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9D5BCD"/>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9D5BCD"/>
    <w:rPr>
      <w:rFonts w:asciiTheme="minorHAnsi" w:eastAsiaTheme="minorEastAsia" w:hAnsiTheme="minorHAnsi" w:cstheme="minorBidi"/>
      <w:b/>
      <w:bCs/>
      <w:color w:val="000000"/>
    </w:rPr>
  </w:style>
  <w:style w:type="paragraph" w:styleId="Header">
    <w:name w:val="header"/>
    <w:basedOn w:val="Normal"/>
    <w:link w:val="HeaderChar"/>
    <w:uiPriority w:val="99"/>
    <w:rsid w:val="00ED4C3D"/>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4C3D"/>
    <w:rPr>
      <w:rFonts w:ascii="Calibri" w:eastAsia="Times New Roman" w:hAnsi="Calibri" w:cs="Calibri"/>
      <w:color w:val="000000"/>
      <w:sz w:val="22"/>
      <w:szCs w:val="22"/>
    </w:rPr>
  </w:style>
  <w:style w:type="paragraph" w:styleId="Footer">
    <w:name w:val="footer"/>
    <w:basedOn w:val="Normal"/>
    <w:link w:val="FooterChar"/>
    <w:uiPriority w:val="99"/>
    <w:rsid w:val="00ED4C3D"/>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4C3D"/>
    <w:rPr>
      <w:rFonts w:ascii="Calibri" w:eastAsia="Times New Roman" w:hAnsi="Calibri" w:cs="Calibri"/>
      <w:color w:val="000000"/>
      <w:sz w:val="22"/>
      <w:szCs w:val="22"/>
    </w:rPr>
  </w:style>
  <w:style w:type="character" w:styleId="PageNumber">
    <w:name w:val="page number"/>
    <w:basedOn w:val="DefaultParagraphFont"/>
    <w:uiPriority w:val="99"/>
    <w:rsid w:val="00ED4C3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hachen@llu.edu" TargetMode="External"/><Relationship Id="rId13" Type="http://schemas.openxmlformats.org/officeDocument/2006/relationships/hyperlink" Target="mailto:psherchan@llu.edu" TargetMode="External"/><Relationship Id="rId18" Type="http://schemas.openxmlformats.org/officeDocument/2006/relationships/hyperlink" Target="mailto:chkim1@llu.edu"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mailto:hachen@llu.edu" TargetMode="External"/><Relationship Id="rId12" Type="http://schemas.openxmlformats.org/officeDocument/2006/relationships/hyperlink" Target="mailto:psherchan@llu.edu" TargetMode="External"/><Relationship Id="rId17" Type="http://schemas.openxmlformats.org/officeDocument/2006/relationships/hyperlink" Target="mailto:chkim1@llu.edu" TargetMode="External"/><Relationship Id="rId2" Type="http://schemas.openxmlformats.org/officeDocument/2006/relationships/settings" Target="settings.xml"/><Relationship Id="rId16" Type="http://schemas.openxmlformats.org/officeDocument/2006/relationships/hyperlink" Target="mailto:chkim1@llu.edu" TargetMode="External"/><Relationship Id="rId20" Type="http://schemas.openxmlformats.org/officeDocument/2006/relationships/hyperlink" Target="mailto:chkim1@llu.edu" TargetMode="External"/><Relationship Id="rId1" Type="http://schemas.openxmlformats.org/officeDocument/2006/relationships/styles" Target="styles.xml"/><Relationship Id="rId6" Type="http://schemas.openxmlformats.org/officeDocument/2006/relationships/hyperlink" Target="mailto:hachen@llu.edu" TargetMode="External"/><Relationship Id="rId11" Type="http://schemas.openxmlformats.org/officeDocument/2006/relationships/hyperlink" Target="mailto:psherchan@llu.edu" TargetMode="External"/><Relationship Id="rId5" Type="http://schemas.openxmlformats.org/officeDocument/2006/relationships/endnotes" Target="endnotes.xml"/><Relationship Id="rId15" Type="http://schemas.openxmlformats.org/officeDocument/2006/relationships/hyperlink" Target="mailto:psherchan@llu.edu" TargetMode="External"/><Relationship Id="rId23" Type="http://schemas.openxmlformats.org/officeDocument/2006/relationships/theme" Target="theme/theme1.xml"/><Relationship Id="rId10" Type="http://schemas.openxmlformats.org/officeDocument/2006/relationships/hyperlink" Target="mailto:hachen@llu.edu" TargetMode="External"/><Relationship Id="rId19" Type="http://schemas.openxmlformats.org/officeDocument/2006/relationships/hyperlink" Target="mailto:chkim1@llu.edu" TargetMode="External"/><Relationship Id="rId4" Type="http://schemas.openxmlformats.org/officeDocument/2006/relationships/footnotes" Target="footnotes.xml"/><Relationship Id="rId9" Type="http://schemas.openxmlformats.org/officeDocument/2006/relationships/hyperlink" Target="mailto:hachen@llu.edu" TargetMode="External"/><Relationship Id="rId14" Type="http://schemas.openxmlformats.org/officeDocument/2006/relationships/hyperlink" Target="mailto:psherchan@llu.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10</Pages>
  <Words>2224</Words>
  <Characters>12681</Characters>
  <Application>Microsoft Office Outlook</Application>
  <DocSecurity>0</DocSecurity>
  <Lines>0</Lines>
  <Paragraphs>0</Paragraphs>
  <ScaleCrop>false</ScaleCrop>
  <Company>Loma Linda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dc:title>
  <dc:subject/>
  <dc:creator>mbenggon</dc:creator>
  <cp:keywords/>
  <dc:description/>
  <cp:lastModifiedBy>painres</cp:lastModifiedBy>
  <cp:revision>2</cp:revision>
  <cp:lastPrinted>1901-01-01T08:00:00Z</cp:lastPrinted>
  <dcterms:created xsi:type="dcterms:W3CDTF">2011-05-20T22:56:00Z</dcterms:created>
  <dcterms:modified xsi:type="dcterms:W3CDTF">2011-05-20T22:56:00Z</dcterms:modified>
</cp:coreProperties>
</file>