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BC" w:rsidRDefault="00EC2D05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MACS cell dissociation kit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softHyphen/>
        <w:t xml:space="preserve"> Postnatal Neurons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MACS and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CliniMACS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Products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Miltenyi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Biotec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Inc.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12740 Earhart Avenue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95602 Auburn, CA, USA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Phone: +1 530 888 88 71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Fax: +1 530 888 89 25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Email: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" w:history="1">
        <w:r>
          <w:rPr>
            <w:rStyle w:val="Hyperlink"/>
            <w:rFonts w:ascii="Arial" w:hAnsi="Arial" w:cs="Arial"/>
            <w:color w:val="2A5DB0"/>
            <w:sz w:val="20"/>
            <w:szCs w:val="20"/>
          </w:rPr>
          <w:t>macs@miltenyibiotec.com</w:t>
        </w:r>
      </w:hyperlink>
    </w:p>
    <w:p w:rsidR="00EC2D05" w:rsidRDefault="00EC2D05">
      <w:pPr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EC2D05" w:rsidRDefault="00EC2D05">
      <w:r>
        <w:rPr>
          <w:rStyle w:val="apple-style-span"/>
          <w:rFonts w:ascii="Arial" w:hAnsi="Arial" w:cs="Arial"/>
          <w:color w:val="000000"/>
          <w:sz w:val="20"/>
          <w:szCs w:val="20"/>
        </w:rPr>
        <w:t>In addition to MACS cell dissociation kit (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Miltenyi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Biotec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), other possible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sponsors of equipment listed in the table you should inquiry to would be: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(1) BTX ( ECM-830 square wave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electroporator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(2) Becton Dickenson (Flow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cytometer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</w:p>
    <w:sectPr w:rsidR="00EC2D05" w:rsidSect="00110A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2D05"/>
    <w:rsid w:val="00110A26"/>
    <w:rsid w:val="003B4BE6"/>
    <w:rsid w:val="00815621"/>
    <w:rsid w:val="00EC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C2D05"/>
  </w:style>
  <w:style w:type="character" w:customStyle="1" w:styleId="apple-converted-space">
    <w:name w:val="apple-converted-space"/>
    <w:basedOn w:val="DefaultParagraphFont"/>
    <w:rsid w:val="00EC2D05"/>
  </w:style>
  <w:style w:type="character" w:styleId="Hyperlink">
    <w:name w:val="Hyperlink"/>
    <w:basedOn w:val="DefaultParagraphFont"/>
    <w:uiPriority w:val="99"/>
    <w:semiHidden/>
    <w:unhideWhenUsed/>
    <w:rsid w:val="00EC2D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s@miltenyibio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Brown University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2011-01-28T17:22:00Z</dcterms:created>
  <dcterms:modified xsi:type="dcterms:W3CDTF">2011-01-28T17:23:00Z</dcterms:modified>
</cp:coreProperties>
</file>