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29" w:rsidRDefault="00D16529" w:rsidP="001701BE">
      <w:pPr>
        <w:pStyle w:val="ColorfulList-Accent11"/>
        <w:ind w:left="0"/>
        <w:rPr>
          <w:bCs/>
          <w:color w:val="000000"/>
          <w:sz w:val="20"/>
          <w:szCs w:val="20"/>
        </w:rPr>
      </w:pPr>
      <w:r w:rsidRPr="00DF6A12">
        <w:rPr>
          <w:rFonts w:ascii="Helvetica" w:hAnsi="Helvetica"/>
        </w:rPr>
        <w:t>Authors and Affiliations:</w:t>
      </w:r>
      <w:r w:rsidRPr="00DF6A12">
        <w:rPr>
          <w:bCs/>
          <w:color w:val="000000"/>
          <w:sz w:val="20"/>
          <w:szCs w:val="20"/>
        </w:rPr>
        <w:t xml:space="preserve"> </w:t>
      </w:r>
      <w:r w:rsidRPr="00DF6A12">
        <w:rPr>
          <w:bCs/>
          <w:color w:val="000000"/>
        </w:rPr>
        <w:t xml:space="preserve">Dean Dessem, </w:t>
      </w:r>
      <w:r w:rsidRPr="009E79A9">
        <w:t>Department of Neural and Pain Sciences</w:t>
      </w:r>
      <w:r>
        <w:t xml:space="preserve">, </w:t>
      </w:r>
      <w:smartTag w:uri="urn:schemas-microsoft-com:office:smarttags" w:element="place">
        <w:smartTag w:uri="urn:schemas-microsoft-com:office:smarttags" w:element="PlaceType">
          <w:r w:rsidRPr="00DF6A12">
            <w:rPr>
              <w:bCs/>
              <w:color w:val="000000"/>
            </w:rPr>
            <w:t>University</w:t>
          </w:r>
        </w:smartTag>
        <w:r w:rsidRPr="00DF6A12">
          <w:rPr>
            <w:bCs/>
            <w:color w:val="000000"/>
          </w:rPr>
          <w:t xml:space="preserve"> of </w:t>
        </w:r>
        <w:smartTag w:uri="urn:schemas-microsoft-com:office:smarttags" w:element="PlaceName">
          <w:r w:rsidRPr="00DF6A12">
            <w:rPr>
              <w:bCs/>
              <w:color w:val="000000"/>
            </w:rPr>
            <w:t>Maryland</w:t>
          </w:r>
        </w:smartTag>
      </w:smartTag>
    </w:p>
    <w:p w:rsidR="00D16529" w:rsidRDefault="00D16529" w:rsidP="008A3789">
      <w:pPr>
        <w:spacing w:after="0" w:line="240" w:lineRule="auto"/>
        <w:rPr>
          <w:rFonts w:ascii="Times New Roman" w:hAnsi="Times New Roman"/>
          <w:sz w:val="24"/>
          <w:szCs w:val="24"/>
        </w:rPr>
      </w:pPr>
    </w:p>
    <w:p w:rsidR="00D16529" w:rsidRPr="008A3789" w:rsidRDefault="00D16529" w:rsidP="008A3789">
      <w:pPr>
        <w:spacing w:after="0" w:line="240" w:lineRule="auto"/>
        <w:rPr>
          <w:rFonts w:ascii="Times New Roman" w:hAnsi="Times New Roman"/>
          <w:sz w:val="24"/>
          <w:szCs w:val="24"/>
        </w:rPr>
      </w:pPr>
      <w:r w:rsidRPr="00DF6A12">
        <w:rPr>
          <w:rFonts w:ascii="Times New Roman" w:hAnsi="Times New Roman"/>
          <w:b/>
          <w:sz w:val="24"/>
          <w:szCs w:val="24"/>
        </w:rPr>
        <w:t xml:space="preserve">Title: </w:t>
      </w:r>
      <w:r w:rsidRPr="008A3789">
        <w:rPr>
          <w:rFonts w:ascii="Times New Roman" w:hAnsi="Times New Roman"/>
          <w:sz w:val="24"/>
          <w:szCs w:val="24"/>
        </w:rPr>
        <w:t>Physiological, Morphological and Neurochemical Characterization of Neurons Modulated by Movement</w:t>
      </w:r>
    </w:p>
    <w:p w:rsidR="00D16529" w:rsidRDefault="00D16529" w:rsidP="008A3789">
      <w:pPr>
        <w:spacing w:after="0" w:line="240" w:lineRule="auto"/>
        <w:rPr>
          <w:rFonts w:ascii="Times New Roman" w:hAnsi="Times New Roman"/>
          <w:b/>
          <w:bCs/>
          <w:color w:val="000000"/>
          <w:sz w:val="20"/>
          <w:szCs w:val="20"/>
        </w:rPr>
      </w:pPr>
      <w:r w:rsidRPr="008A3789">
        <w:rPr>
          <w:rFonts w:ascii="Times New Roman" w:hAnsi="Times New Roman"/>
          <w:sz w:val="24"/>
          <w:szCs w:val="24"/>
        </w:rPr>
        <w:t> </w:t>
      </w:r>
    </w:p>
    <w:p w:rsidR="00D16529" w:rsidRPr="00DF6A12" w:rsidRDefault="00D16529" w:rsidP="008A3789">
      <w:pPr>
        <w:autoSpaceDE w:val="0"/>
        <w:autoSpaceDN w:val="0"/>
        <w:adjustRightInd w:val="0"/>
        <w:spacing w:after="0" w:line="240" w:lineRule="auto"/>
        <w:rPr>
          <w:rFonts w:ascii="ArialMT" w:hAnsi="ArialMT" w:cs="ArialMT"/>
          <w:color w:val="000000"/>
        </w:rPr>
      </w:pPr>
      <w:r w:rsidRPr="00DF6A12">
        <w:rPr>
          <w:rFonts w:ascii="ArialMT" w:hAnsi="ArialMT" w:cs="ArialMT"/>
          <w:color w:val="000000"/>
        </w:rPr>
        <w:t>Correspondence to: Dean Dessem</w:t>
      </w:r>
      <w:r>
        <w:rPr>
          <w:rFonts w:ascii="ArialMT" w:hAnsi="ArialMT" w:cs="ArialMT"/>
          <w:color w:val="000000"/>
        </w:rPr>
        <w:t xml:space="preserve">, </w:t>
      </w:r>
      <w:r w:rsidRPr="00DF6A12">
        <w:rPr>
          <w:rFonts w:ascii="ArialMT" w:hAnsi="ArialMT" w:cs="ArialMT"/>
          <w:color w:val="0000FF"/>
        </w:rPr>
        <w:t>ddessem@umaryland.edu</w:t>
      </w:r>
    </w:p>
    <w:p w:rsidR="00D16529" w:rsidRPr="008A3789" w:rsidRDefault="00D16529" w:rsidP="008A3789">
      <w:pPr>
        <w:spacing w:after="0" w:line="240" w:lineRule="auto"/>
        <w:rPr>
          <w:rFonts w:ascii="Times New Roman" w:hAnsi="Times New Roman"/>
          <w:sz w:val="20"/>
          <w:szCs w:val="20"/>
        </w:rPr>
      </w:pPr>
    </w:p>
    <w:p w:rsidR="00D16529" w:rsidRDefault="00D16529" w:rsidP="00643F83">
      <w:pPr>
        <w:spacing w:line="240" w:lineRule="auto"/>
        <w:rPr>
          <w:rFonts w:ascii="Times New Roman" w:hAnsi="Times New Roman"/>
          <w:b/>
        </w:rPr>
      </w:pPr>
    </w:p>
    <w:p w:rsidR="00D16529" w:rsidRDefault="00D16529" w:rsidP="00643F83">
      <w:pPr>
        <w:spacing w:line="240" w:lineRule="auto"/>
        <w:rPr>
          <w:rFonts w:ascii="Times New Roman" w:hAnsi="Times New Roman"/>
          <w:b/>
        </w:rPr>
      </w:pPr>
      <w:r>
        <w:rPr>
          <w:rFonts w:ascii="Times New Roman" w:hAnsi="Times New Roman"/>
          <w:b/>
        </w:rPr>
        <w:t xml:space="preserve">Abstract: </w:t>
      </w:r>
      <w:r>
        <w:t>The role of individual neurons and their function in neuronal circuits is fundamental to understanding the neuronal mechanisms of sensory and motor functions. Most investigations of sensorimotor mechanisms rely on either examination of neurons while an animal is static1,2 or record extracellular neuronal activity during a movement.3,4 While these studies have provided the fundamental background for sensorimotor function, they either do not evaluate functional information which occurs during a movement or are limited in their ability to fully characterize the anatomy, physiology and neurochemical phenotype of the neuron. A technique is shown here which allows extensive characterization of individual neurons during an in vivo goal directed movement. This technique can be used not only to study primary afferent neurons but also to characterize motoneurons and sensorimotor interneurons. Initially the response of a single neuron is recorded using electrophysiological methods during various movements of the mandible followed by determination of the receptive field for the neuron. A neuronal tracer is then intracellularly injected into the neuron and the brain is processed so that the neuron can be visualized with light, electron or confocal microscopy (Fig. 1). The detailed morphology of the characterized neuron is then reconstructed so that neuronal morphology can be correlated with the physiological response of the neuron (Figs. 2,3). In this communication important key details and tips for successful implementation of this technique are provided. Valuable additional information can be determined for the neuron under study by combining this method with other techniques. Retrograde neuronal labeling can be used to determine neurons with which the labeled neuron synapses; thus allowing detailed determination of neuronal circuitry. Immunocytochemistry can be combined with this method to examine neurotransmitters within the labeled neuron and to determine the chemical phenotypes of neurons with which the labeled neuron synapses. The labeled neuron can also be processed for electron microscopy to determine the ultrastructural features and microcircuitry of the labeled neuron. Overall this technique is a powerful method to thoroughly characterize neurons during in vivo movement thus allowing substantial insight into the role of the neuron in sensorimotor function.</w:t>
      </w:r>
    </w:p>
    <w:p w:rsidR="00D16529" w:rsidRPr="005A349B" w:rsidRDefault="00D16529" w:rsidP="00643F83">
      <w:pPr>
        <w:spacing w:line="240" w:lineRule="auto"/>
        <w:rPr>
          <w:rFonts w:ascii="Times New Roman" w:hAnsi="Times New Roman"/>
        </w:rPr>
      </w:pPr>
      <w:r w:rsidRPr="005A349B">
        <w:rPr>
          <w:rFonts w:ascii="Times New Roman" w:hAnsi="Times New Roman"/>
          <w:b/>
        </w:rPr>
        <w:t>Protocol Text</w:t>
      </w:r>
      <w:r w:rsidRPr="005A349B">
        <w:rPr>
          <w:rFonts w:ascii="Times New Roman" w:hAnsi="Times New Roman"/>
        </w:rPr>
        <w:t>:</w:t>
      </w:r>
    </w:p>
    <w:p w:rsidR="00D16529" w:rsidRPr="005A349B" w:rsidRDefault="00D16529" w:rsidP="00643F83">
      <w:pPr>
        <w:spacing w:line="240" w:lineRule="auto"/>
        <w:rPr>
          <w:rFonts w:ascii="Times New Roman" w:hAnsi="Times New Roman"/>
          <w:b/>
        </w:rPr>
      </w:pPr>
      <w:r w:rsidRPr="005A349B">
        <w:rPr>
          <w:rFonts w:ascii="Times New Roman" w:hAnsi="Times New Roman"/>
          <w:b/>
        </w:rPr>
        <w:t>1.) Animal Preparation</w:t>
      </w:r>
    </w:p>
    <w:p w:rsidR="00D16529" w:rsidRPr="005A349B" w:rsidRDefault="00D16529" w:rsidP="00643F83">
      <w:pPr>
        <w:spacing w:line="240" w:lineRule="auto"/>
        <w:rPr>
          <w:rFonts w:ascii="Times New Roman" w:hAnsi="Times New Roman"/>
        </w:rPr>
      </w:pPr>
      <w:r w:rsidRPr="005A349B">
        <w:rPr>
          <w:rFonts w:ascii="Times New Roman" w:hAnsi="Times New Roman"/>
        </w:rPr>
        <w:t>1.1) Rat anesthetized with sodium pentobarbital and placed on heating pad.  Skin overlying posterior skull shaved with animal clippers.</w:t>
      </w:r>
    </w:p>
    <w:p w:rsidR="00D16529" w:rsidRPr="005A349B" w:rsidRDefault="00D16529" w:rsidP="00643F83">
      <w:pPr>
        <w:spacing w:line="240" w:lineRule="auto"/>
        <w:rPr>
          <w:rFonts w:ascii="Times New Roman" w:hAnsi="Times New Roman"/>
        </w:rPr>
      </w:pPr>
      <w:r w:rsidRPr="005A349B">
        <w:rPr>
          <w:rFonts w:ascii="Times New Roman" w:hAnsi="Times New Roman"/>
        </w:rPr>
        <w:t xml:space="preserve">1.2) Using aseptic technique, an incision is made along the inner thigh and </w:t>
      </w:r>
      <w:r>
        <w:rPr>
          <w:rFonts w:ascii="Times New Roman" w:hAnsi="Times New Roman"/>
        </w:rPr>
        <w:t xml:space="preserve">a </w:t>
      </w:r>
      <w:r w:rsidRPr="005A349B">
        <w:rPr>
          <w:rFonts w:ascii="Times New Roman" w:hAnsi="Times New Roman"/>
        </w:rPr>
        <w:t xml:space="preserve">cannula inserted into femoral vein, femoral artery and trachea. Systemic </w:t>
      </w:r>
      <w:r>
        <w:rPr>
          <w:rFonts w:ascii="Times New Roman" w:hAnsi="Times New Roman"/>
        </w:rPr>
        <w:t xml:space="preserve">diastolic and systolic </w:t>
      </w:r>
      <w:r w:rsidRPr="005A349B">
        <w:rPr>
          <w:rFonts w:ascii="Times New Roman" w:hAnsi="Times New Roman"/>
        </w:rPr>
        <w:t>blood pressure a</w:t>
      </w:r>
      <w:r>
        <w:rPr>
          <w:rFonts w:ascii="Times New Roman" w:hAnsi="Times New Roman"/>
        </w:rPr>
        <w:t>re monitor via the arterial cannula; additional anesthesia is administered via the venous cannula.</w:t>
      </w:r>
      <w:r w:rsidRPr="005A349B">
        <w:rPr>
          <w:rFonts w:ascii="Times New Roman" w:hAnsi="Times New Roman"/>
        </w:rPr>
        <w:t xml:space="preserve"> </w:t>
      </w:r>
    </w:p>
    <w:p w:rsidR="00D16529" w:rsidRPr="005A349B" w:rsidRDefault="00D16529" w:rsidP="00643F83">
      <w:pPr>
        <w:spacing w:line="240" w:lineRule="auto"/>
        <w:rPr>
          <w:rFonts w:ascii="Times New Roman" w:hAnsi="Times New Roman"/>
        </w:rPr>
      </w:pPr>
      <w:r w:rsidRPr="005A349B">
        <w:rPr>
          <w:rFonts w:ascii="Times New Roman" w:hAnsi="Times New Roman"/>
        </w:rPr>
        <w:t xml:space="preserve">1.3) Rat is placed into a stereotaxic frame and a craniotomy is </w:t>
      </w:r>
      <w:r>
        <w:rPr>
          <w:rFonts w:ascii="Times New Roman" w:hAnsi="Times New Roman"/>
        </w:rPr>
        <w:t xml:space="preserve">performed </w:t>
      </w:r>
      <w:r w:rsidRPr="005A349B">
        <w:rPr>
          <w:rFonts w:ascii="Times New Roman" w:hAnsi="Times New Roman"/>
        </w:rPr>
        <w:t>to expose the cerebellum</w:t>
      </w:r>
      <w:r>
        <w:rPr>
          <w:rFonts w:ascii="Times New Roman" w:hAnsi="Times New Roman"/>
        </w:rPr>
        <w:t xml:space="preserve"> and the surface is covered with warmed mineral oil</w:t>
      </w:r>
      <w:r w:rsidRPr="005A349B">
        <w:rPr>
          <w:rFonts w:ascii="Times New Roman" w:hAnsi="Times New Roman"/>
        </w:rPr>
        <w:t xml:space="preserve">. </w:t>
      </w:r>
      <w:r>
        <w:rPr>
          <w:rFonts w:ascii="Times New Roman" w:hAnsi="Times New Roman"/>
        </w:rPr>
        <w:t xml:space="preserve">Note </w:t>
      </w:r>
      <w:r w:rsidRPr="005A349B">
        <w:rPr>
          <w:rFonts w:ascii="Times New Roman" w:hAnsi="Times New Roman"/>
        </w:rPr>
        <w:t xml:space="preserve">that a large venous sinus located directly under the </w:t>
      </w:r>
      <w:r>
        <w:rPr>
          <w:rFonts w:ascii="Times New Roman" w:hAnsi="Times New Roman"/>
        </w:rPr>
        <w:t xml:space="preserve">junction between the parietal and interparietal bones </w:t>
      </w:r>
      <w:r w:rsidRPr="005A349B">
        <w:rPr>
          <w:rFonts w:ascii="Times New Roman" w:hAnsi="Times New Roman"/>
        </w:rPr>
        <w:t>must be avoided.</w:t>
      </w:r>
    </w:p>
    <w:p w:rsidR="00D16529" w:rsidRPr="005A349B" w:rsidRDefault="00D16529" w:rsidP="00643F83">
      <w:pPr>
        <w:spacing w:line="240" w:lineRule="auto"/>
        <w:rPr>
          <w:rFonts w:ascii="Times New Roman" w:hAnsi="Times New Roman"/>
        </w:rPr>
      </w:pPr>
      <w:r w:rsidRPr="005A349B">
        <w:rPr>
          <w:rFonts w:ascii="Times New Roman" w:hAnsi="Times New Roman"/>
        </w:rPr>
        <w:t>1.4) The mandible is then glued to a rod coupled to a</w:t>
      </w:r>
      <w:r>
        <w:rPr>
          <w:rFonts w:ascii="Times New Roman" w:hAnsi="Times New Roman"/>
        </w:rPr>
        <w:t>n electromagnetic vibrator</w:t>
      </w:r>
      <w:r w:rsidRPr="005A349B">
        <w:rPr>
          <w:rFonts w:ascii="Times New Roman" w:hAnsi="Times New Roman"/>
        </w:rPr>
        <w:t xml:space="preserve">. Movement of the mandible is obtained by </w:t>
      </w:r>
      <w:r>
        <w:rPr>
          <w:rFonts w:ascii="Times New Roman" w:hAnsi="Times New Roman"/>
        </w:rPr>
        <w:t xml:space="preserve">command signals to the vibrator from </w:t>
      </w:r>
      <w:r w:rsidRPr="005A349B">
        <w:rPr>
          <w:rFonts w:ascii="Times New Roman" w:hAnsi="Times New Roman"/>
        </w:rPr>
        <w:t xml:space="preserve">either </w:t>
      </w:r>
      <w:r>
        <w:rPr>
          <w:rFonts w:ascii="Times New Roman" w:hAnsi="Times New Roman"/>
        </w:rPr>
        <w:t xml:space="preserve">a A/D </w:t>
      </w:r>
      <w:r w:rsidRPr="005A349B">
        <w:rPr>
          <w:rFonts w:ascii="Times New Roman" w:hAnsi="Times New Roman"/>
        </w:rPr>
        <w:t xml:space="preserve">computer </w:t>
      </w:r>
      <w:r>
        <w:rPr>
          <w:rFonts w:ascii="Times New Roman" w:hAnsi="Times New Roman"/>
        </w:rPr>
        <w:t>o</w:t>
      </w:r>
      <w:r w:rsidRPr="005A349B">
        <w:rPr>
          <w:rFonts w:ascii="Times New Roman" w:hAnsi="Times New Roman"/>
        </w:rPr>
        <w:t xml:space="preserve">utput or </w:t>
      </w:r>
      <w:r>
        <w:rPr>
          <w:rFonts w:ascii="Times New Roman" w:hAnsi="Times New Roman"/>
        </w:rPr>
        <w:t>a signal generator.</w:t>
      </w:r>
    </w:p>
    <w:p w:rsidR="00D16529" w:rsidRPr="005A349B" w:rsidRDefault="00D16529" w:rsidP="00643F83">
      <w:pPr>
        <w:spacing w:line="240" w:lineRule="auto"/>
        <w:rPr>
          <w:rFonts w:ascii="Times New Roman" w:hAnsi="Times New Roman"/>
        </w:rPr>
      </w:pPr>
      <w:r>
        <w:rPr>
          <w:rFonts w:ascii="Times New Roman" w:hAnsi="Times New Roman"/>
        </w:rPr>
        <w:t>1.5) A grounding electrode placed under the skin adjacent to the craniotomy.</w:t>
      </w:r>
    </w:p>
    <w:p w:rsidR="00D16529" w:rsidRDefault="00D16529" w:rsidP="00643F83">
      <w:pPr>
        <w:spacing w:line="240" w:lineRule="auto"/>
        <w:rPr>
          <w:rFonts w:ascii="Times New Roman" w:hAnsi="Times New Roman"/>
          <w:b/>
        </w:rPr>
      </w:pPr>
    </w:p>
    <w:p w:rsidR="00D16529" w:rsidRPr="005A349B" w:rsidRDefault="00D16529" w:rsidP="00643F83">
      <w:pPr>
        <w:spacing w:line="240" w:lineRule="auto"/>
        <w:rPr>
          <w:rFonts w:ascii="Times New Roman" w:hAnsi="Times New Roman"/>
          <w:b/>
        </w:rPr>
      </w:pPr>
      <w:r w:rsidRPr="005A349B">
        <w:rPr>
          <w:rFonts w:ascii="Times New Roman" w:hAnsi="Times New Roman"/>
          <w:b/>
        </w:rPr>
        <w:t>2.) Electrode preparation</w:t>
      </w:r>
      <w:r>
        <w:rPr>
          <w:rFonts w:ascii="Times New Roman" w:hAnsi="Times New Roman"/>
          <w:b/>
        </w:rPr>
        <w:t xml:space="preserve"> (Film)</w:t>
      </w:r>
    </w:p>
    <w:p w:rsidR="00D16529" w:rsidRDefault="00D16529" w:rsidP="00643F83">
      <w:pPr>
        <w:spacing w:line="240" w:lineRule="auto"/>
        <w:rPr>
          <w:rFonts w:ascii="Times New Roman" w:hAnsi="Times New Roman"/>
        </w:rPr>
      </w:pPr>
      <w:r w:rsidRPr="005A349B">
        <w:rPr>
          <w:rFonts w:ascii="Times New Roman" w:hAnsi="Times New Roman"/>
        </w:rPr>
        <w:t>2.1) Microelectrodes fabricated from quartz or aluminosilicate glass using a horizontal microelectrode puller.</w:t>
      </w:r>
    </w:p>
    <w:p w:rsidR="00D16529" w:rsidRPr="005A349B" w:rsidRDefault="00D16529" w:rsidP="00643F83">
      <w:pPr>
        <w:spacing w:line="240" w:lineRule="auto"/>
        <w:rPr>
          <w:rFonts w:ascii="Times New Roman" w:hAnsi="Times New Roman"/>
        </w:rPr>
      </w:pPr>
      <w:r w:rsidRPr="005A349B">
        <w:rPr>
          <w:rFonts w:ascii="Times New Roman" w:hAnsi="Times New Roman"/>
        </w:rPr>
        <w:t>2.2) Electrode is filled with 5</w:t>
      </w:r>
      <w:r>
        <w:rPr>
          <w:rFonts w:ascii="Times New Roman" w:hAnsi="Times New Roman"/>
        </w:rPr>
        <w:t>-10</w:t>
      </w:r>
      <w:r w:rsidRPr="005A349B">
        <w:rPr>
          <w:rFonts w:ascii="Times New Roman" w:hAnsi="Times New Roman"/>
        </w:rPr>
        <w:t>% biotinamide dissolved in 0.25M KCl and 0.5M Tris HCl buffer (pH 7.6)</w:t>
      </w:r>
      <w:r>
        <w:rPr>
          <w:rFonts w:ascii="Times New Roman" w:hAnsi="Times New Roman"/>
        </w:rPr>
        <w:t xml:space="preserve"> or 2% tetramethlyrhodamine in saline (pH 6)</w:t>
      </w:r>
      <w:r w:rsidRPr="005A349B">
        <w:rPr>
          <w:rFonts w:ascii="Times New Roman" w:hAnsi="Times New Roman"/>
        </w:rPr>
        <w:t>. Electrode impedance is checked in a</w:t>
      </w:r>
      <w:r>
        <w:rPr>
          <w:rFonts w:ascii="Times New Roman" w:hAnsi="Times New Roman"/>
        </w:rPr>
        <w:t xml:space="preserve">n </w:t>
      </w:r>
      <w:r w:rsidRPr="005A349B">
        <w:rPr>
          <w:rFonts w:ascii="Times New Roman" w:hAnsi="Times New Roman"/>
        </w:rPr>
        <w:t>electrode</w:t>
      </w:r>
      <w:r>
        <w:rPr>
          <w:rFonts w:ascii="Times New Roman" w:hAnsi="Times New Roman"/>
        </w:rPr>
        <w:t xml:space="preserve"> tester. </w:t>
      </w:r>
      <w:r w:rsidRPr="005A349B">
        <w:rPr>
          <w:rFonts w:ascii="Times New Roman" w:hAnsi="Times New Roman"/>
        </w:rPr>
        <w:t>Typically need an impedance of 60-80M Ω for large diameter axons, 80-150MΩ for small afferent axons and interneurons.</w:t>
      </w:r>
    </w:p>
    <w:p w:rsidR="00D16529" w:rsidRPr="005A349B" w:rsidRDefault="00D16529" w:rsidP="00643F83">
      <w:pPr>
        <w:spacing w:line="240" w:lineRule="auto"/>
        <w:rPr>
          <w:rFonts w:ascii="Times New Roman" w:hAnsi="Times New Roman"/>
        </w:rPr>
      </w:pPr>
      <w:r w:rsidRPr="005A349B">
        <w:rPr>
          <w:rFonts w:ascii="Times New Roman" w:hAnsi="Times New Roman"/>
        </w:rPr>
        <w:t>2.3) Microelectrode is then placed into the head stage of the electrometer.  Electrode is visualized through a small telescope (20X</w:t>
      </w:r>
      <w:r>
        <w:rPr>
          <w:rFonts w:ascii="Times New Roman" w:hAnsi="Times New Roman"/>
        </w:rPr>
        <w:t xml:space="preserve"> with an enclosed reticle</w:t>
      </w:r>
      <w:r w:rsidRPr="005A349B">
        <w:rPr>
          <w:rFonts w:ascii="Times New Roman" w:hAnsi="Times New Roman"/>
        </w:rPr>
        <w:t>)which is fixed in position behind the animal's head.  Use of the telescope is important becau</w:t>
      </w:r>
      <w:r>
        <w:rPr>
          <w:rFonts w:ascii="Times New Roman" w:hAnsi="Times New Roman"/>
        </w:rPr>
        <w:t>s</w:t>
      </w:r>
      <w:r w:rsidRPr="005A349B">
        <w:rPr>
          <w:rFonts w:ascii="Times New Roman" w:hAnsi="Times New Roman"/>
        </w:rPr>
        <w:t>e it al</w:t>
      </w:r>
      <w:r>
        <w:rPr>
          <w:rFonts w:ascii="Times New Roman" w:hAnsi="Times New Roman"/>
        </w:rPr>
        <w:t xml:space="preserve">lows electrodes to be </w:t>
      </w:r>
      <w:r w:rsidRPr="005A349B">
        <w:rPr>
          <w:rFonts w:ascii="Times New Roman" w:hAnsi="Times New Roman"/>
        </w:rPr>
        <w:t>stereotaxically positioned with great precision.</w:t>
      </w:r>
    </w:p>
    <w:p w:rsidR="00D16529" w:rsidRDefault="00D16529" w:rsidP="00643F83">
      <w:pPr>
        <w:spacing w:line="240" w:lineRule="auto"/>
        <w:rPr>
          <w:rFonts w:ascii="Times New Roman" w:hAnsi="Times New Roman"/>
          <w:b/>
        </w:rPr>
      </w:pPr>
    </w:p>
    <w:p w:rsidR="00D16529" w:rsidRPr="005A349B" w:rsidRDefault="00D16529" w:rsidP="00643F83">
      <w:pPr>
        <w:spacing w:line="240" w:lineRule="auto"/>
        <w:rPr>
          <w:rFonts w:ascii="Times New Roman" w:hAnsi="Times New Roman"/>
          <w:b/>
        </w:rPr>
      </w:pPr>
      <w:r w:rsidRPr="005A349B">
        <w:rPr>
          <w:rFonts w:ascii="Times New Roman" w:hAnsi="Times New Roman"/>
          <w:b/>
        </w:rPr>
        <w:t>3.) Electrophysiological recording and intracellular staining</w:t>
      </w:r>
      <w:r>
        <w:rPr>
          <w:rFonts w:ascii="Times New Roman" w:hAnsi="Times New Roman"/>
          <w:b/>
        </w:rPr>
        <w:t xml:space="preserve"> (Film)</w:t>
      </w:r>
    </w:p>
    <w:p w:rsidR="00D16529" w:rsidRPr="005A349B" w:rsidRDefault="00D16529" w:rsidP="00643F83">
      <w:pPr>
        <w:spacing w:line="240" w:lineRule="auto"/>
        <w:rPr>
          <w:rFonts w:ascii="Times New Roman" w:hAnsi="Times New Roman"/>
        </w:rPr>
      </w:pPr>
      <w:r w:rsidRPr="005A349B">
        <w:rPr>
          <w:rFonts w:ascii="Times New Roman" w:hAnsi="Times New Roman"/>
        </w:rPr>
        <w:t>3.1) A small opening is made in the pia mater</w:t>
      </w:r>
      <w:r>
        <w:rPr>
          <w:rFonts w:ascii="Times New Roman" w:hAnsi="Times New Roman"/>
        </w:rPr>
        <w:t xml:space="preserve"> and c</w:t>
      </w:r>
      <w:r w:rsidRPr="005A349B">
        <w:rPr>
          <w:rFonts w:ascii="Times New Roman" w:hAnsi="Times New Roman"/>
        </w:rPr>
        <w:t xml:space="preserve">apacitance feedback is overcompensated so that when the electrode touches the brain </w:t>
      </w:r>
      <w:r>
        <w:rPr>
          <w:rFonts w:ascii="Times New Roman" w:hAnsi="Times New Roman"/>
        </w:rPr>
        <w:t>a feedback signal is produced. This allows accurate location of the surface of the brain.</w:t>
      </w:r>
    </w:p>
    <w:p w:rsidR="00D16529" w:rsidRPr="005A349B" w:rsidRDefault="00D16529" w:rsidP="00643F83">
      <w:pPr>
        <w:spacing w:line="240" w:lineRule="auto"/>
        <w:rPr>
          <w:rFonts w:ascii="Times New Roman" w:hAnsi="Times New Roman"/>
        </w:rPr>
      </w:pPr>
      <w:r w:rsidRPr="005A349B">
        <w:rPr>
          <w:rFonts w:ascii="Times New Roman" w:hAnsi="Times New Roman"/>
        </w:rPr>
        <w:t xml:space="preserve">3.2) </w:t>
      </w:r>
      <w:r>
        <w:rPr>
          <w:rFonts w:ascii="Times New Roman" w:hAnsi="Times New Roman"/>
        </w:rPr>
        <w:t>Repeated m</w:t>
      </w:r>
      <w:r w:rsidRPr="005A349B">
        <w:rPr>
          <w:rFonts w:ascii="Times New Roman" w:hAnsi="Times New Roman"/>
        </w:rPr>
        <w:t xml:space="preserve">andibular displacement is </w:t>
      </w:r>
      <w:r>
        <w:rPr>
          <w:rFonts w:ascii="Times New Roman" w:hAnsi="Times New Roman"/>
        </w:rPr>
        <w:t xml:space="preserve">then produced </w:t>
      </w:r>
      <w:r w:rsidRPr="005A349B">
        <w:rPr>
          <w:rFonts w:ascii="Times New Roman" w:hAnsi="Times New Roman"/>
        </w:rPr>
        <w:t>and the electrode is advanced into the brain with a stepping motor</w:t>
      </w:r>
      <w:r>
        <w:rPr>
          <w:rFonts w:ascii="Times New Roman" w:hAnsi="Times New Roman"/>
        </w:rPr>
        <w:t>.</w:t>
      </w:r>
    </w:p>
    <w:p w:rsidR="00D16529" w:rsidRPr="005A349B" w:rsidRDefault="00D16529" w:rsidP="00643F83">
      <w:pPr>
        <w:spacing w:line="240" w:lineRule="auto"/>
        <w:rPr>
          <w:rFonts w:ascii="Times New Roman" w:hAnsi="Times New Roman"/>
        </w:rPr>
      </w:pPr>
      <w:r w:rsidRPr="005A349B">
        <w:rPr>
          <w:rFonts w:ascii="Times New Roman" w:hAnsi="Times New Roman"/>
        </w:rPr>
        <w:t xml:space="preserve">3.3) </w:t>
      </w:r>
      <w:r>
        <w:rPr>
          <w:rFonts w:ascii="Times New Roman" w:hAnsi="Times New Roman"/>
        </w:rPr>
        <w:t>Neuronal impalements are indicated by sudden drops in DC potential and if in a neuron by ongoing synaptic activity. Buzzing the electrode with overcompensation of capacitance or tapping rarely produce a successful cell penetration. Because of the high impedance of the electrodes, neuronal responses are rarely observed prior to penetration.</w:t>
      </w:r>
      <w:r w:rsidRPr="005A349B">
        <w:rPr>
          <w:rFonts w:ascii="Times New Roman" w:hAnsi="Times New Roman"/>
        </w:rPr>
        <w:t xml:space="preserve"> </w:t>
      </w:r>
    </w:p>
    <w:p w:rsidR="00D16529" w:rsidRDefault="00D16529" w:rsidP="00643F83">
      <w:pPr>
        <w:spacing w:line="240" w:lineRule="auto"/>
        <w:rPr>
          <w:rFonts w:ascii="Times New Roman" w:hAnsi="Times New Roman"/>
        </w:rPr>
      </w:pPr>
      <w:r w:rsidRPr="005A349B">
        <w:rPr>
          <w:rFonts w:ascii="Times New Roman" w:hAnsi="Times New Roman"/>
        </w:rPr>
        <w:t xml:space="preserve">3.4) </w:t>
      </w:r>
      <w:r>
        <w:rPr>
          <w:rFonts w:ascii="Times New Roman" w:hAnsi="Times New Roman"/>
        </w:rPr>
        <w:t>After a neuron is impaled and the penetration is deemed stable, the neuronal response is characterized by ramp and hold and sinusoidal jaw movement.</w:t>
      </w:r>
      <w:r w:rsidRPr="004E7FBD">
        <w:rPr>
          <w:rFonts w:ascii="Times New Roman" w:hAnsi="Times New Roman"/>
          <w:vertAlign w:val="superscript"/>
        </w:rPr>
        <w:t>5</w:t>
      </w:r>
      <w:r>
        <w:rPr>
          <w:rFonts w:ascii="Times New Roman" w:hAnsi="Times New Roman"/>
        </w:rPr>
        <w:t xml:space="preserve"> The skin around the head and intra oral cavity is then explored to map the receptive field of the neuron. If relevant to the study, the response of the neuron to other functionally relevant stimuli such as muscle contraction and noxious stimuli can also be examined.</w:t>
      </w:r>
      <w:r w:rsidRPr="004E7FBD">
        <w:rPr>
          <w:rFonts w:ascii="Times New Roman" w:hAnsi="Times New Roman"/>
          <w:vertAlign w:val="superscript"/>
        </w:rPr>
        <w:t>6</w:t>
      </w:r>
    </w:p>
    <w:p w:rsidR="00D16529" w:rsidRPr="005A349B" w:rsidRDefault="00D16529" w:rsidP="00882EEB">
      <w:pPr>
        <w:spacing w:line="240" w:lineRule="auto"/>
        <w:rPr>
          <w:rFonts w:ascii="Times New Roman" w:hAnsi="Times New Roman"/>
        </w:rPr>
      </w:pPr>
      <w:r>
        <w:rPr>
          <w:rFonts w:ascii="Times New Roman" w:hAnsi="Times New Roman"/>
        </w:rPr>
        <w:t>3.5) Current is then injected (DC, 1-4nA) for a total injection time of 15-70nA minutes. Electrode penetration is monitored and discontinued if membrane potential becomes more positive than -30mV.</w:t>
      </w:r>
    </w:p>
    <w:p w:rsidR="00D16529" w:rsidRPr="00CA442D" w:rsidRDefault="00D16529" w:rsidP="00643F83">
      <w:pPr>
        <w:spacing w:line="240" w:lineRule="auto"/>
        <w:rPr>
          <w:rFonts w:ascii="Times New Roman" w:hAnsi="Times New Roman"/>
          <w:b/>
        </w:rPr>
      </w:pPr>
      <w:r w:rsidRPr="00CA442D">
        <w:rPr>
          <w:rFonts w:ascii="Times New Roman" w:hAnsi="Times New Roman"/>
          <w:b/>
        </w:rPr>
        <w:t>4.) Tissue processing</w:t>
      </w:r>
      <w:r>
        <w:rPr>
          <w:rFonts w:ascii="Times New Roman" w:hAnsi="Times New Roman"/>
          <w:b/>
        </w:rPr>
        <w:t xml:space="preserve"> (Film)</w:t>
      </w:r>
    </w:p>
    <w:p w:rsidR="00D16529" w:rsidRDefault="00D16529" w:rsidP="00643F83">
      <w:pPr>
        <w:spacing w:line="240" w:lineRule="auto"/>
        <w:rPr>
          <w:rFonts w:ascii="Times New Roman" w:hAnsi="Times New Roman"/>
        </w:rPr>
      </w:pPr>
      <w:r>
        <w:rPr>
          <w:rFonts w:ascii="Times New Roman" w:hAnsi="Times New Roman"/>
        </w:rPr>
        <w:t>4.1) Animal is euthanized by overdose of pentobarbital and perfused with a vascular rinse followed by 4% parafomraldehyde in 0.1M phosphate buffer (pH 7.4).</w:t>
      </w:r>
    </w:p>
    <w:p w:rsidR="00D16529" w:rsidRDefault="00D16529" w:rsidP="00643F83">
      <w:pPr>
        <w:spacing w:line="240" w:lineRule="auto"/>
        <w:rPr>
          <w:rFonts w:ascii="Times New Roman" w:hAnsi="Times New Roman"/>
        </w:rPr>
      </w:pPr>
      <w:r>
        <w:rPr>
          <w:rFonts w:ascii="Times New Roman" w:hAnsi="Times New Roman"/>
        </w:rPr>
        <w:t>4.2) Brain is removed and sectioned 50-100µm in either the frontal, sagittal or horizontal plane.</w:t>
      </w:r>
    </w:p>
    <w:p w:rsidR="00D16529" w:rsidRDefault="00D16529" w:rsidP="00643F83">
      <w:pPr>
        <w:spacing w:line="240" w:lineRule="auto"/>
        <w:rPr>
          <w:rFonts w:ascii="Times New Roman" w:hAnsi="Times New Roman"/>
        </w:rPr>
      </w:pPr>
      <w:r>
        <w:rPr>
          <w:rFonts w:ascii="Times New Roman" w:hAnsi="Times New Roman"/>
        </w:rPr>
        <w:t>4.3) Processing for DAB consisted of incubation in 1-2% normal goat serum and 1% Triton X-100 in 0.01M PBS followed by incubation in avidin biotin complex (1:50 Elite Vectastain). Sections are then reacted using nickel-DAB with H</w:t>
      </w:r>
      <w:r w:rsidRPr="00CC6A32">
        <w:rPr>
          <w:rFonts w:ascii="Times New Roman" w:hAnsi="Times New Roman"/>
          <w:vertAlign w:val="subscript"/>
        </w:rPr>
        <w:t>2</w:t>
      </w:r>
      <w:r>
        <w:rPr>
          <w:rFonts w:ascii="Times New Roman" w:hAnsi="Times New Roman"/>
        </w:rPr>
        <w:t>O</w:t>
      </w:r>
      <w:r w:rsidRPr="00CC6A32">
        <w:rPr>
          <w:rFonts w:ascii="Times New Roman" w:hAnsi="Times New Roman"/>
          <w:vertAlign w:val="subscript"/>
        </w:rPr>
        <w:t>2</w:t>
      </w:r>
      <w:r>
        <w:rPr>
          <w:rFonts w:ascii="Times New Roman" w:hAnsi="Times New Roman"/>
        </w:rPr>
        <w:t>. For processing of Texas Red, sections are incubated in avidin-biotin complex (1:50) in PBS overnight at 4</w:t>
      </w:r>
      <w:r w:rsidRPr="00A368E8">
        <w:rPr>
          <w:rFonts w:ascii="Times New Roman" w:hAnsi="Times New Roman"/>
          <w:vertAlign w:val="superscript"/>
        </w:rPr>
        <w:t>o</w:t>
      </w:r>
      <w:r>
        <w:rPr>
          <w:rFonts w:ascii="Times New Roman" w:hAnsi="Times New Roman"/>
        </w:rPr>
        <w:t>C and then incubated in 4% Texas Red avidin DCS in PBST at 4</w:t>
      </w:r>
      <w:r w:rsidRPr="00A368E8">
        <w:rPr>
          <w:rFonts w:ascii="Times New Roman" w:hAnsi="Times New Roman"/>
          <w:vertAlign w:val="superscript"/>
        </w:rPr>
        <w:t>o</w:t>
      </w:r>
      <w:r>
        <w:rPr>
          <w:rFonts w:ascii="Times New Roman" w:hAnsi="Times New Roman"/>
        </w:rPr>
        <w:t>C overnight. Sections are then counterstained with a fluorescent Nissl stain (NeuroTrace) 20min at 23</w:t>
      </w:r>
      <w:r w:rsidRPr="004C5E3A">
        <w:rPr>
          <w:rFonts w:ascii="Times New Roman" w:hAnsi="Times New Roman"/>
          <w:vertAlign w:val="superscript"/>
        </w:rPr>
        <w:t>o</w:t>
      </w:r>
      <w:r>
        <w:rPr>
          <w:rFonts w:ascii="Times New Roman" w:hAnsi="Times New Roman"/>
        </w:rPr>
        <w:t>C.</w:t>
      </w:r>
    </w:p>
    <w:p w:rsidR="00D16529" w:rsidRDefault="00D16529" w:rsidP="00643F83">
      <w:pPr>
        <w:spacing w:line="240" w:lineRule="auto"/>
        <w:rPr>
          <w:rFonts w:ascii="Times New Roman" w:hAnsi="Times New Roman"/>
        </w:rPr>
      </w:pPr>
      <w:r>
        <w:rPr>
          <w:rFonts w:ascii="Times New Roman" w:hAnsi="Times New Roman"/>
        </w:rPr>
        <w:t>4.4) If neuron was injected with rhodamine the injected neuron can be visualized directly with a fluorescent microscope (Ex 545nm).</w:t>
      </w:r>
    </w:p>
    <w:p w:rsidR="00D16529" w:rsidRPr="005A349B" w:rsidRDefault="00D16529" w:rsidP="00643F83">
      <w:pPr>
        <w:spacing w:line="240" w:lineRule="auto"/>
        <w:rPr>
          <w:rFonts w:ascii="Times New Roman" w:hAnsi="Times New Roman"/>
          <w:b/>
        </w:rPr>
      </w:pPr>
      <w:r>
        <w:rPr>
          <w:rFonts w:ascii="Times New Roman" w:hAnsi="Times New Roman"/>
          <w:b/>
        </w:rPr>
        <w:t>5</w:t>
      </w:r>
      <w:r w:rsidRPr="005A349B">
        <w:rPr>
          <w:rFonts w:ascii="Times New Roman" w:hAnsi="Times New Roman"/>
          <w:b/>
        </w:rPr>
        <w:t>. ) Combin</w:t>
      </w:r>
      <w:r>
        <w:rPr>
          <w:rFonts w:ascii="Times New Roman" w:hAnsi="Times New Roman"/>
          <w:b/>
        </w:rPr>
        <w:t xml:space="preserve">ing method </w:t>
      </w:r>
      <w:r w:rsidRPr="005A349B">
        <w:rPr>
          <w:rFonts w:ascii="Times New Roman" w:hAnsi="Times New Roman"/>
          <w:b/>
        </w:rPr>
        <w:t>with retrograde labeling,  immunocytochemistry, confocal imaging, quantitative colocalization analysis</w:t>
      </w:r>
    </w:p>
    <w:p w:rsidR="00D16529" w:rsidRDefault="00D16529" w:rsidP="00643F83">
      <w:pPr>
        <w:spacing w:line="240" w:lineRule="auto"/>
        <w:rPr>
          <w:rFonts w:ascii="Times New Roman" w:hAnsi="Times New Roman"/>
        </w:rPr>
      </w:pPr>
      <w:r>
        <w:rPr>
          <w:rFonts w:ascii="Times New Roman" w:hAnsi="Times New Roman"/>
        </w:rPr>
        <w:t xml:space="preserve">The success of combining this technique with other methods is largely dependent upon good intracellular labeling. </w:t>
      </w:r>
    </w:p>
    <w:p w:rsidR="00D16529" w:rsidRDefault="00D16529" w:rsidP="00BC1ACC">
      <w:pPr>
        <w:spacing w:after="0" w:line="240" w:lineRule="auto"/>
        <w:contextualSpacing/>
        <w:rPr>
          <w:rFonts w:ascii="Times New Roman" w:hAnsi="Times New Roman"/>
        </w:rPr>
      </w:pPr>
      <w:r>
        <w:rPr>
          <w:rFonts w:ascii="Times New Roman" w:hAnsi="Times New Roman"/>
        </w:rPr>
        <w:t>5</w:t>
      </w:r>
      <w:r w:rsidRPr="005A349B">
        <w:rPr>
          <w:rFonts w:ascii="Times New Roman" w:hAnsi="Times New Roman"/>
        </w:rPr>
        <w:t>.1)</w:t>
      </w:r>
      <w:r>
        <w:rPr>
          <w:rFonts w:ascii="Times New Roman" w:hAnsi="Times New Roman"/>
        </w:rPr>
        <w:t xml:space="preserve"> The method visualized here can easily be combined with retrograde neuronal labeling.</w:t>
      </w:r>
      <w:r w:rsidRPr="004E7FBD">
        <w:rPr>
          <w:rFonts w:ascii="Times New Roman" w:hAnsi="Times New Roman"/>
          <w:vertAlign w:val="superscript"/>
        </w:rPr>
        <w:t>7</w:t>
      </w:r>
      <w:r>
        <w:rPr>
          <w:rFonts w:ascii="Times New Roman" w:hAnsi="Times New Roman"/>
          <w:vertAlign w:val="superscript"/>
        </w:rPr>
        <w:t>-10</w:t>
      </w:r>
      <w:r>
        <w:rPr>
          <w:rFonts w:ascii="Times New Roman" w:hAnsi="Times New Roman"/>
        </w:rPr>
        <w:t xml:space="preserve"> For instance animals can be anesthetized and using aseptic technique, a neuronal tracer such as horseradish peroxidase (20% horseradish peroxidase (Sigma VI, Sigma) and 1% wheat-germ aggultinated horseradish peroxidase (Sigma)) can be injected into peripheral target regions to retrogradely label motoneurons. After 24h, animals are anesthetized and neurons physiologically characterized and intracellularly stained. Animals are perfused then as described above and tissue sections are processed for the presence of HRP using tetramethylbenzide (TMB) as the chromagen and sodium tungstate as the stabilizer and intensified with cobalt. Sections are placed in 1% sodium tungstate dissolved in 0.1M PBS (pH 6.5) and 0.0007% TMB dissolved in absolute ethanol and acetone at 15</w:t>
      </w:r>
      <w:r w:rsidRPr="00B407A1">
        <w:rPr>
          <w:rFonts w:ascii="Times New Roman" w:hAnsi="Times New Roman"/>
          <w:vertAlign w:val="superscript"/>
        </w:rPr>
        <w:t>o</w:t>
      </w:r>
      <w:r>
        <w:rPr>
          <w:rFonts w:ascii="Times New Roman" w:hAnsi="Times New Roman"/>
        </w:rPr>
        <w:t>C for 20 min. Sections are then reacted by adding 1.0 ml of 0.3% H</w:t>
      </w:r>
      <w:r w:rsidRPr="00B407A1">
        <w:rPr>
          <w:rFonts w:ascii="Times New Roman" w:hAnsi="Times New Roman"/>
          <w:vertAlign w:val="subscript"/>
        </w:rPr>
        <w:t>2</w:t>
      </w:r>
      <w:r>
        <w:rPr>
          <w:rFonts w:ascii="Times New Roman" w:hAnsi="Times New Roman"/>
        </w:rPr>
        <w:t>O</w:t>
      </w:r>
      <w:r w:rsidRPr="00B407A1">
        <w:rPr>
          <w:rFonts w:ascii="Times New Roman" w:hAnsi="Times New Roman"/>
          <w:vertAlign w:val="subscript"/>
        </w:rPr>
        <w:t>2</w:t>
      </w:r>
      <w:r>
        <w:rPr>
          <w:rFonts w:ascii="Times New Roman" w:hAnsi="Times New Roman"/>
        </w:rPr>
        <w:t xml:space="preserve"> per 100ml of incubation solution for 60 min. Tissue is then rinsed in 0.1M PBS (pH 6.5) and placed in 0.05% diaminobenzidine (pH 7.4), 0.02% cobalt, and 0.01% H</w:t>
      </w:r>
      <w:r w:rsidRPr="0021655F">
        <w:rPr>
          <w:rFonts w:ascii="Times New Roman" w:hAnsi="Times New Roman"/>
          <w:vertAlign w:val="subscript"/>
        </w:rPr>
        <w:t>2</w:t>
      </w:r>
      <w:r>
        <w:rPr>
          <w:rFonts w:ascii="Times New Roman" w:hAnsi="Times New Roman"/>
        </w:rPr>
        <w:t>O</w:t>
      </w:r>
      <w:r w:rsidRPr="0021655F">
        <w:rPr>
          <w:rFonts w:ascii="Times New Roman" w:hAnsi="Times New Roman"/>
          <w:vertAlign w:val="subscript"/>
        </w:rPr>
        <w:t>2</w:t>
      </w:r>
      <w:r>
        <w:rPr>
          <w:rFonts w:ascii="Times New Roman" w:hAnsi="Times New Roman"/>
        </w:rPr>
        <w:t xml:space="preserve"> in 0.1M PBS (pH 7.4) for 10 min. at 37</w:t>
      </w:r>
      <w:r w:rsidRPr="0021655F">
        <w:rPr>
          <w:rFonts w:ascii="Times New Roman" w:hAnsi="Times New Roman"/>
          <w:vertAlign w:val="superscript"/>
        </w:rPr>
        <w:t>o</w:t>
      </w:r>
      <w:r>
        <w:rPr>
          <w:rFonts w:ascii="Times New Roman" w:hAnsi="Times New Roman"/>
        </w:rPr>
        <w:t xml:space="preserve">C. Tissue is then processed for visualization of the neuron injected with biotinamide as described which allows visualization of the relationships between the labeled sensory neuron and a variety of motoneurons.  </w:t>
      </w:r>
    </w:p>
    <w:p w:rsidR="00D16529" w:rsidRDefault="00D16529" w:rsidP="00BC1ACC">
      <w:pPr>
        <w:spacing w:after="0" w:line="240" w:lineRule="auto"/>
        <w:contextualSpacing/>
        <w:rPr>
          <w:rFonts w:ascii="Times New Roman" w:hAnsi="Times New Roman"/>
        </w:rPr>
      </w:pPr>
    </w:p>
    <w:p w:rsidR="00D16529" w:rsidRDefault="00D16529" w:rsidP="00643F83">
      <w:pPr>
        <w:spacing w:line="240" w:lineRule="auto"/>
        <w:rPr>
          <w:rFonts w:ascii="Times New Roman" w:hAnsi="Times New Roman"/>
        </w:rPr>
      </w:pPr>
      <w:r>
        <w:rPr>
          <w:rFonts w:ascii="Times New Roman" w:hAnsi="Times New Roman"/>
        </w:rPr>
        <w:t>5</w:t>
      </w:r>
      <w:r w:rsidRPr="005A349B">
        <w:rPr>
          <w:rFonts w:ascii="Times New Roman" w:hAnsi="Times New Roman"/>
        </w:rPr>
        <w:t xml:space="preserve">.2) </w:t>
      </w:r>
      <w:r>
        <w:rPr>
          <w:rFonts w:ascii="Times New Roman" w:hAnsi="Times New Roman"/>
        </w:rPr>
        <w:t xml:space="preserve">The technique visualized here can readily be combined with </w:t>
      </w:r>
      <w:r w:rsidRPr="005A349B">
        <w:rPr>
          <w:rFonts w:ascii="Times New Roman" w:hAnsi="Times New Roman"/>
        </w:rPr>
        <w:t>immnocytochemistry</w:t>
      </w:r>
      <w:r>
        <w:rPr>
          <w:rFonts w:ascii="Times New Roman" w:hAnsi="Times New Roman"/>
        </w:rPr>
        <w:t>.</w:t>
      </w:r>
      <w:r w:rsidRPr="004E7FBD">
        <w:rPr>
          <w:rFonts w:ascii="Times New Roman" w:hAnsi="Times New Roman"/>
          <w:vertAlign w:val="superscript"/>
        </w:rPr>
        <w:t>6</w:t>
      </w:r>
      <w:r>
        <w:rPr>
          <w:rFonts w:ascii="Times New Roman" w:hAnsi="Times New Roman"/>
        </w:rPr>
        <w:t xml:space="preserve"> For example immunocytochemical processing for synaptophysin can be used to accurately locate synapses within labeled neurons (</w:t>
      </w:r>
      <w:r w:rsidRPr="003E4D6D">
        <w:rPr>
          <w:rFonts w:ascii="Times New Roman" w:hAnsi="Times New Roman"/>
          <w:b/>
        </w:rPr>
        <w:t>Fig. 3</w:t>
      </w:r>
      <w:r>
        <w:rPr>
          <w:rFonts w:ascii="Times New Roman" w:hAnsi="Times New Roman"/>
        </w:rPr>
        <w:t>). This is done by incubating sections in mouse anti-synaptophysin antibody (1:10,000) for 2 days at 4</w:t>
      </w:r>
      <w:r w:rsidRPr="00246978">
        <w:rPr>
          <w:rFonts w:ascii="Times New Roman" w:hAnsi="Times New Roman"/>
          <w:vertAlign w:val="superscript"/>
        </w:rPr>
        <w:t>o</w:t>
      </w:r>
      <w:r>
        <w:rPr>
          <w:rFonts w:ascii="Times New Roman" w:hAnsi="Times New Roman"/>
        </w:rPr>
        <w:t>C followed by incubation in anti-mouse FITC (1:400) for 1h at 23</w:t>
      </w:r>
      <w:r w:rsidRPr="00246978">
        <w:rPr>
          <w:rFonts w:ascii="Times New Roman" w:hAnsi="Times New Roman"/>
          <w:vertAlign w:val="superscript"/>
        </w:rPr>
        <w:t>o</w:t>
      </w:r>
      <w:r>
        <w:rPr>
          <w:rFonts w:ascii="Times New Roman" w:hAnsi="Times New Roman"/>
        </w:rPr>
        <w:t xml:space="preserve">C. </w:t>
      </w:r>
    </w:p>
    <w:p w:rsidR="00D16529" w:rsidRDefault="00D16529" w:rsidP="00643F83">
      <w:pPr>
        <w:spacing w:line="240" w:lineRule="auto"/>
        <w:rPr>
          <w:rFonts w:ascii="Times New Roman" w:hAnsi="Times New Roman"/>
        </w:rPr>
      </w:pPr>
      <w:r>
        <w:rPr>
          <w:rFonts w:ascii="Times New Roman" w:hAnsi="Times New Roman"/>
        </w:rPr>
        <w:t>5</w:t>
      </w:r>
      <w:r w:rsidRPr="005A349B">
        <w:rPr>
          <w:rFonts w:ascii="Times New Roman" w:hAnsi="Times New Roman"/>
        </w:rPr>
        <w:t xml:space="preserve">.3) </w:t>
      </w:r>
      <w:r>
        <w:rPr>
          <w:rFonts w:ascii="Times New Roman" w:hAnsi="Times New Roman"/>
        </w:rPr>
        <w:t xml:space="preserve">Neurons labeled with fluorescent markers or processed for fluorescent imaging are ideal for </w:t>
      </w:r>
      <w:r w:rsidRPr="005A349B">
        <w:rPr>
          <w:rFonts w:ascii="Times New Roman" w:hAnsi="Times New Roman"/>
        </w:rPr>
        <w:t>confocal imaging</w:t>
      </w:r>
      <w:r>
        <w:rPr>
          <w:rFonts w:ascii="Times New Roman" w:hAnsi="Times New Roman"/>
        </w:rPr>
        <w:t>. Figure 3 is an example of an optical section obtained with confocal microscopy through a axon bouton. (</w:t>
      </w:r>
      <w:r w:rsidRPr="00053F8E">
        <w:rPr>
          <w:rFonts w:ascii="Times New Roman" w:hAnsi="Times New Roman"/>
          <w:b/>
        </w:rPr>
        <w:t>Fig</w:t>
      </w:r>
      <w:r>
        <w:rPr>
          <w:rFonts w:ascii="Times New Roman" w:hAnsi="Times New Roman"/>
          <w:b/>
        </w:rPr>
        <w:t>.</w:t>
      </w:r>
      <w:r w:rsidRPr="00053F8E">
        <w:rPr>
          <w:rFonts w:ascii="Times New Roman" w:hAnsi="Times New Roman"/>
          <w:b/>
        </w:rPr>
        <w:t xml:space="preserve"> 3</w:t>
      </w:r>
      <w:r>
        <w:rPr>
          <w:rFonts w:ascii="Times New Roman" w:hAnsi="Times New Roman"/>
        </w:rPr>
        <w:t>). Generation of multiple optical sections acquired through the labeled neuron can also be used to generate animations of the neuron (</w:t>
      </w:r>
      <w:r w:rsidRPr="00053F8E">
        <w:rPr>
          <w:rFonts w:ascii="Times New Roman" w:hAnsi="Times New Roman"/>
          <w:b/>
        </w:rPr>
        <w:t>Fig</w:t>
      </w:r>
      <w:r>
        <w:rPr>
          <w:rFonts w:ascii="Times New Roman" w:hAnsi="Times New Roman"/>
          <w:b/>
        </w:rPr>
        <w:t>.</w:t>
      </w:r>
      <w:r w:rsidRPr="00053F8E">
        <w:rPr>
          <w:rFonts w:ascii="Times New Roman" w:hAnsi="Times New Roman"/>
          <w:b/>
        </w:rPr>
        <w:t xml:space="preserve"> 4</w:t>
      </w:r>
      <w:r>
        <w:rPr>
          <w:rFonts w:ascii="Times New Roman" w:hAnsi="Times New Roman"/>
        </w:rPr>
        <w:t>).</w:t>
      </w:r>
    </w:p>
    <w:p w:rsidR="00D16529" w:rsidRPr="005A349B" w:rsidRDefault="00D16529" w:rsidP="00643F83">
      <w:pPr>
        <w:spacing w:line="240" w:lineRule="auto"/>
        <w:rPr>
          <w:rFonts w:ascii="Times New Roman" w:hAnsi="Times New Roman"/>
        </w:rPr>
      </w:pPr>
      <w:r>
        <w:rPr>
          <w:rFonts w:ascii="Times New Roman" w:hAnsi="Times New Roman"/>
        </w:rPr>
        <w:t>5</w:t>
      </w:r>
      <w:r w:rsidRPr="005A349B">
        <w:rPr>
          <w:rFonts w:ascii="Times New Roman" w:hAnsi="Times New Roman"/>
        </w:rPr>
        <w:t xml:space="preserve">.4) </w:t>
      </w:r>
      <w:r w:rsidRPr="004A1019">
        <w:rPr>
          <w:rFonts w:ascii="Times New Roman" w:hAnsi="Times New Roman"/>
          <w:highlight w:val="yellow"/>
        </w:rPr>
        <w:t>Neurons labeled with this method can be used for quantitative colocalization analysis. I have successfully used the technique visualized here with a publicly available colocalization software macro that is used with NIH Image (found at http://phy.ucsf.edu/~idl/colocalization.htm).</w:t>
      </w:r>
      <w:r>
        <w:rPr>
          <w:rFonts w:ascii="Times New Roman" w:hAnsi="Times New Roman"/>
        </w:rPr>
        <w:t xml:space="preserve"> Intracellular labeling was combined with synaptophysin immunocytochemistry to localize synaptophysin within single axon terminals.</w:t>
      </w:r>
      <w:r w:rsidRPr="004E7FBD">
        <w:rPr>
          <w:rFonts w:ascii="Times New Roman" w:hAnsi="Times New Roman"/>
          <w:vertAlign w:val="superscript"/>
        </w:rPr>
        <w:t>6</w:t>
      </w:r>
    </w:p>
    <w:p w:rsidR="00D16529" w:rsidRDefault="00D16529" w:rsidP="00643F83">
      <w:pPr>
        <w:spacing w:line="240" w:lineRule="auto"/>
        <w:rPr>
          <w:rFonts w:ascii="Times New Roman" w:hAnsi="Times New Roman"/>
        </w:rPr>
      </w:pPr>
      <w:r w:rsidRPr="005A349B">
        <w:rPr>
          <w:rFonts w:ascii="Times New Roman" w:hAnsi="Times New Roman"/>
          <w:b/>
        </w:rPr>
        <w:t>Representative Results:</w:t>
      </w:r>
      <w:r>
        <w:rPr>
          <w:rFonts w:ascii="Times New Roman" w:hAnsi="Times New Roman"/>
          <w:b/>
        </w:rPr>
        <w:t xml:space="preserve"> </w:t>
      </w:r>
      <w:r>
        <w:rPr>
          <w:rFonts w:ascii="Times New Roman" w:hAnsi="Times New Roman"/>
        </w:rPr>
        <w:t xml:space="preserve">An overview of the representative results that can be obtained using this method are illustrated  in </w:t>
      </w:r>
      <w:r w:rsidRPr="003E4D6D">
        <w:rPr>
          <w:rFonts w:ascii="Times New Roman" w:hAnsi="Times New Roman"/>
          <w:b/>
        </w:rPr>
        <w:t>Figure 1</w:t>
      </w:r>
      <w:r>
        <w:rPr>
          <w:rFonts w:ascii="Times New Roman" w:hAnsi="Times New Roman"/>
        </w:rPr>
        <w:t>. This single brainstem neuron was electrophysiologically recorded during movement of the mandible and as can clearly be seen the response of this neuron (</w:t>
      </w:r>
      <w:r w:rsidRPr="00053F8E">
        <w:rPr>
          <w:rFonts w:ascii="Times New Roman" w:hAnsi="Times New Roman"/>
          <w:b/>
        </w:rPr>
        <w:t xml:space="preserve">Figure 1 </w:t>
      </w:r>
      <w:r>
        <w:rPr>
          <w:rFonts w:ascii="Times New Roman" w:hAnsi="Times New Roman"/>
        </w:rPr>
        <w:t>lower left, light blue) was modulated during movement. This neuron was injected with biotinamide after electrophysiological characterization and subsequently processed for visualization. The reconstructed neuron (</w:t>
      </w:r>
      <w:r w:rsidRPr="00053F8E">
        <w:rPr>
          <w:rFonts w:ascii="Times New Roman" w:hAnsi="Times New Roman"/>
          <w:b/>
        </w:rPr>
        <w:t>Figure 1</w:t>
      </w:r>
      <w:r>
        <w:rPr>
          <w:rFonts w:ascii="Times New Roman" w:hAnsi="Times New Roman"/>
        </w:rPr>
        <w:t xml:space="preserve"> middle, green) with an anatomical landmark, in this case the trigeminal motor nucleus designated (red outline). Based upon the neuronal response during movement and reconstruction this neuron can be identified as a secondary muscle spindle afferent neuron. </w:t>
      </w:r>
      <w:r w:rsidRPr="003E4D6D">
        <w:rPr>
          <w:rFonts w:ascii="Times New Roman" w:hAnsi="Times New Roman"/>
          <w:b/>
        </w:rPr>
        <w:t>Figure 2</w:t>
      </w:r>
      <w:r>
        <w:rPr>
          <w:rFonts w:ascii="Times New Roman" w:hAnsi="Times New Roman"/>
        </w:rPr>
        <w:t xml:space="preserve"> illustrates a representative example of the physiological response of a neuron during jaw displacement. The response of the neuron is represented as instantaneous firing frequency.  Note that the neuronal response closely mimics mandibular displacement indicating this this particular neuron provides sensory feedback related to mandibular position. </w:t>
      </w:r>
      <w:r w:rsidRPr="00053F8E">
        <w:rPr>
          <w:rFonts w:ascii="Times New Roman" w:hAnsi="Times New Roman"/>
          <w:b/>
        </w:rPr>
        <w:t>Figure 3</w:t>
      </w:r>
      <w:r>
        <w:rPr>
          <w:rFonts w:ascii="Times New Roman" w:hAnsi="Times New Roman"/>
        </w:rPr>
        <w:t xml:space="preserve"> is a high magnification image of an  intracellularly stained axon combined with staining for synaptophysin and a Nissl stain. Note the colocalization of synaptophysin (yellow) within the axon bouton. </w:t>
      </w:r>
      <w:r w:rsidRPr="00053F8E">
        <w:rPr>
          <w:rFonts w:ascii="Times New Roman" w:hAnsi="Times New Roman"/>
          <w:b/>
        </w:rPr>
        <w:t xml:space="preserve">Figure 4 </w:t>
      </w:r>
      <w:r>
        <w:rPr>
          <w:rFonts w:ascii="Times New Roman" w:hAnsi="Times New Roman"/>
        </w:rPr>
        <w:t>is an animation of a single, physiologically characterized and intracellularly labeled neuron.</w:t>
      </w:r>
    </w:p>
    <w:p w:rsidR="00D16529" w:rsidRPr="005A349B" w:rsidRDefault="00D16529" w:rsidP="004F1C3B">
      <w:pPr>
        <w:spacing w:line="240" w:lineRule="auto"/>
        <w:rPr>
          <w:rFonts w:ascii="Times New Roman" w:hAnsi="Times New Roman"/>
        </w:rPr>
      </w:pPr>
      <w:r w:rsidRPr="005A349B">
        <w:rPr>
          <w:rFonts w:ascii="Times New Roman" w:hAnsi="Times New Roman"/>
          <w:b/>
        </w:rPr>
        <w:t>Figures</w:t>
      </w:r>
      <w:r w:rsidRPr="005A349B">
        <w:rPr>
          <w:rFonts w:ascii="Times New Roman" w:hAnsi="Times New Roman"/>
        </w:rPr>
        <w:t>:</w:t>
      </w:r>
    </w:p>
    <w:p w:rsidR="00D16529" w:rsidRPr="005A349B" w:rsidRDefault="00D16529" w:rsidP="004F1C3B">
      <w:pPr>
        <w:spacing w:line="240" w:lineRule="auto"/>
        <w:rPr>
          <w:rFonts w:ascii="Times New Roman" w:hAnsi="Times New Roman"/>
        </w:rPr>
      </w:pPr>
      <w:r w:rsidRPr="004F1C3B">
        <w:rPr>
          <w:rFonts w:ascii="Times New Roman" w:hAnsi="Times New Roman"/>
          <w:b/>
        </w:rPr>
        <w:t>Figure 1</w:t>
      </w:r>
      <w:r>
        <w:rPr>
          <w:rFonts w:ascii="Times New Roman" w:hAnsi="Times New Roman"/>
          <w:b/>
        </w:rPr>
        <w:t>:</w:t>
      </w:r>
      <w:r>
        <w:rPr>
          <w:rFonts w:ascii="Times New Roman" w:hAnsi="Times New Roman"/>
        </w:rPr>
        <w:t xml:space="preserve"> Overview of method. Upper left: mandibular displacement. Middle Intracellular recording (green) from single neuron (yellow). Morphology of this neurons was reconstructed after intracellular recording and injection. Red outline indicates location of trigeminal motor nucleus. Lower left: physiological response of this neuron during jaw movement.</w:t>
      </w:r>
    </w:p>
    <w:p w:rsidR="00D16529" w:rsidRPr="005A349B" w:rsidRDefault="00D16529" w:rsidP="004F1C3B">
      <w:pPr>
        <w:spacing w:line="240" w:lineRule="auto"/>
        <w:rPr>
          <w:rFonts w:ascii="Times New Roman" w:hAnsi="Times New Roman"/>
        </w:rPr>
      </w:pPr>
      <w:r w:rsidRPr="004F1C3B">
        <w:rPr>
          <w:rFonts w:ascii="Times New Roman" w:hAnsi="Times New Roman"/>
          <w:b/>
        </w:rPr>
        <w:t xml:space="preserve">Figure </w:t>
      </w:r>
      <w:r>
        <w:rPr>
          <w:rFonts w:ascii="Times New Roman" w:hAnsi="Times New Roman"/>
          <w:b/>
        </w:rPr>
        <w:t>2:</w:t>
      </w:r>
      <w:r>
        <w:rPr>
          <w:rFonts w:ascii="Times New Roman" w:hAnsi="Times New Roman"/>
        </w:rPr>
        <w:t xml:space="preserve"> Representative physiological response of a single muscle sensory neuron recorded </w:t>
      </w:r>
      <w:r w:rsidRPr="004712D1">
        <w:rPr>
          <w:rFonts w:ascii="Times New Roman" w:hAnsi="Times New Roman"/>
          <w:i/>
        </w:rPr>
        <w:t xml:space="preserve">in vivo </w:t>
      </w:r>
      <w:r>
        <w:rPr>
          <w:rFonts w:ascii="Times New Roman" w:hAnsi="Times New Roman"/>
        </w:rPr>
        <w:t>during movement of the mandible. Note the similarity of the neuronal response with jaw displacement.</w:t>
      </w:r>
    </w:p>
    <w:p w:rsidR="00D16529" w:rsidRDefault="00D16529" w:rsidP="004F1C3B">
      <w:pPr>
        <w:spacing w:line="240" w:lineRule="auto"/>
        <w:rPr>
          <w:rFonts w:ascii="Times New Roman" w:hAnsi="Times New Roman"/>
        </w:rPr>
      </w:pPr>
      <w:r w:rsidRPr="004F1C3B">
        <w:rPr>
          <w:rFonts w:ascii="Times New Roman" w:hAnsi="Times New Roman"/>
          <w:b/>
        </w:rPr>
        <w:t>Figure 3</w:t>
      </w:r>
      <w:r>
        <w:rPr>
          <w:rFonts w:ascii="Times New Roman" w:hAnsi="Times New Roman"/>
          <w:b/>
        </w:rPr>
        <w:t>:</w:t>
      </w:r>
      <w:r>
        <w:rPr>
          <w:rFonts w:ascii="Times New Roman" w:hAnsi="Times New Roman"/>
        </w:rPr>
        <w:t xml:space="preserve"> Terminal axonal arborization with synaptic boutons (red swellings) of an intracellularly-stained sensory neuron which responded during muscle probing. Subsequent immunocytochemical processing for synaptophysin shows localization of synaptophysin within the axonal bouton (yellow). Green is a fluorescent Nissl stain.</w:t>
      </w:r>
    </w:p>
    <w:p w:rsidR="00D16529" w:rsidRPr="005A349B" w:rsidRDefault="00D16529" w:rsidP="004F1C3B">
      <w:pPr>
        <w:spacing w:line="240" w:lineRule="auto"/>
        <w:rPr>
          <w:rFonts w:ascii="Times New Roman" w:hAnsi="Times New Roman"/>
        </w:rPr>
      </w:pPr>
      <w:r w:rsidRPr="004F1C3B">
        <w:rPr>
          <w:rFonts w:ascii="Times New Roman" w:hAnsi="Times New Roman"/>
          <w:b/>
        </w:rPr>
        <w:t>Figure 4</w:t>
      </w:r>
      <w:r>
        <w:rPr>
          <w:rFonts w:ascii="Times New Roman" w:hAnsi="Times New Roman"/>
          <w:b/>
        </w:rPr>
        <w:t>:</w:t>
      </w:r>
      <w:r>
        <w:rPr>
          <w:rFonts w:ascii="Times New Roman" w:hAnsi="Times New Roman"/>
        </w:rPr>
        <w:t xml:space="preserve"> Animation </w:t>
      </w:r>
      <w:r w:rsidRPr="005A349B">
        <w:rPr>
          <w:rFonts w:ascii="Times New Roman" w:hAnsi="Times New Roman"/>
        </w:rPr>
        <w:t xml:space="preserve">of </w:t>
      </w:r>
      <w:r>
        <w:rPr>
          <w:rFonts w:ascii="Times New Roman" w:hAnsi="Times New Roman"/>
        </w:rPr>
        <w:t xml:space="preserve">muscle spindle </w:t>
      </w:r>
      <w:r w:rsidRPr="005A349B">
        <w:rPr>
          <w:rFonts w:ascii="Times New Roman" w:hAnsi="Times New Roman"/>
        </w:rPr>
        <w:t>primary afferent neuron</w:t>
      </w:r>
      <w:r>
        <w:rPr>
          <w:rFonts w:ascii="Times New Roman" w:hAnsi="Times New Roman"/>
        </w:rPr>
        <w:t xml:space="preserve"> axon whose physiological response was recorded </w:t>
      </w:r>
      <w:r w:rsidRPr="004712D1">
        <w:rPr>
          <w:rFonts w:ascii="Times New Roman" w:hAnsi="Times New Roman"/>
          <w:i/>
        </w:rPr>
        <w:t>in vivo</w:t>
      </w:r>
      <w:r>
        <w:rPr>
          <w:rFonts w:ascii="Times New Roman" w:hAnsi="Times New Roman"/>
        </w:rPr>
        <w:t xml:space="preserve"> during mandibular movement, intracellularly stained and processed for visualization.</w:t>
      </w:r>
    </w:p>
    <w:p w:rsidR="00D16529" w:rsidRPr="005A349B" w:rsidRDefault="00D16529" w:rsidP="00643F83">
      <w:pPr>
        <w:spacing w:line="240" w:lineRule="auto"/>
        <w:rPr>
          <w:rFonts w:ascii="Times New Roman" w:hAnsi="Times New Roman"/>
        </w:rPr>
      </w:pPr>
    </w:p>
    <w:p w:rsidR="00D16529" w:rsidRDefault="00D16529" w:rsidP="00643F83">
      <w:pPr>
        <w:spacing w:line="240" w:lineRule="auto"/>
        <w:rPr>
          <w:rFonts w:ascii="Times New Roman" w:hAnsi="Times New Roman"/>
        </w:rPr>
      </w:pPr>
      <w:r w:rsidRPr="005A349B">
        <w:rPr>
          <w:rFonts w:ascii="Times New Roman" w:hAnsi="Times New Roman"/>
          <w:b/>
        </w:rPr>
        <w:t>Discussion</w:t>
      </w:r>
      <w:r w:rsidRPr="005A349B">
        <w:rPr>
          <w:rFonts w:ascii="Times New Roman" w:hAnsi="Times New Roman"/>
        </w:rPr>
        <w:t>:</w:t>
      </w:r>
      <w:r>
        <w:rPr>
          <w:rFonts w:ascii="Times New Roman" w:hAnsi="Times New Roman"/>
        </w:rPr>
        <w:t xml:space="preserve"> The method illustrated here is a powerful technique which provides important insight into the function of single neurons and how the response of individual neurons contributes to neuronal circuits.</w:t>
      </w:r>
      <w:r w:rsidRPr="004E7FBD">
        <w:rPr>
          <w:rFonts w:ascii="Times New Roman" w:hAnsi="Times New Roman"/>
          <w:vertAlign w:val="superscript"/>
        </w:rPr>
        <w:t>9</w:t>
      </w:r>
      <w:r>
        <w:rPr>
          <w:rFonts w:ascii="Times New Roman" w:hAnsi="Times New Roman"/>
        </w:rPr>
        <w:t xml:space="preserve"> This knowledge is fundamental to understanding sensorimotor function. The greatest strength of this technique is that is allows determination of a large number of parameters about a neuron including physiology, morphology and synaptic morphology and distribution. When combined with other techniques such as retrograde neuronal labeling additional information such as neuronal circuitry can be characterized.</w:t>
      </w:r>
      <w:r w:rsidRPr="004E7FBD">
        <w:rPr>
          <w:rFonts w:ascii="Times New Roman" w:hAnsi="Times New Roman"/>
          <w:vertAlign w:val="superscript"/>
        </w:rPr>
        <w:t>7,8</w:t>
      </w:r>
      <w:r>
        <w:rPr>
          <w:rFonts w:ascii="Times New Roman" w:hAnsi="Times New Roman"/>
        </w:rPr>
        <w:t xml:space="preserve"> Another advantage of this method is that it can be learned in steps. For instance, intracellular recording can be conducted initially, followed by intracellular staining with immunocytochemistry or retrograde neuronal labeling added after mastery of the initial method. Perhaps the greatest limitation of the technique is that only a small number of neurons can be labeled in any one experiment.  Typically two to three neurons of a particular physiological type are initially labeled. Once the potential relationship between physiology and morphology is formulated, additional experiments are used to carefully check this relationship in experiments in which only a single neuron in labeled.</w:t>
      </w:r>
    </w:p>
    <w:p w:rsidR="00D16529" w:rsidRDefault="00D16529" w:rsidP="00643F83">
      <w:pPr>
        <w:spacing w:line="240" w:lineRule="auto"/>
        <w:rPr>
          <w:rFonts w:ascii="Times New Roman" w:hAnsi="Times New Roman"/>
        </w:rPr>
      </w:pPr>
      <w:r>
        <w:rPr>
          <w:rFonts w:ascii="Times New Roman" w:hAnsi="Times New Roman"/>
        </w:rPr>
        <w:t>The most crucial step for the success of this method is maintaining electrophysiological intracellular recording stability. Recording stability will vary greatly depending upon the location within the brain of the neuron under study but a number of manipulations can be used to increase recording stability. A pneumothorax can be performed and the animal artificially ventilated to reduce respiratory pulsations. Stability can be increased further by applying a positive end expiratory pressure of about 1 cm H</w:t>
      </w:r>
      <w:r w:rsidRPr="001A42C6">
        <w:rPr>
          <w:rFonts w:ascii="Times New Roman" w:hAnsi="Times New Roman"/>
          <w:vertAlign w:val="subscript"/>
        </w:rPr>
        <w:t>2</w:t>
      </w:r>
      <w:r>
        <w:rPr>
          <w:rFonts w:ascii="Times New Roman" w:hAnsi="Times New Roman"/>
        </w:rPr>
        <w:t>O.  When the region of interest within the brain is reached, stability can be enhanced by hyprventilating the animal by decreasing respiratory volume and increasing reparatory rate. Some electrophysiological studies have applied warm agar over the brain and cannulated the bladder; these procedures have not been effective in increasing neuronal recording stability in the brainstem. It is important to point out that injection times do not need to be long. Good results can be obtained with injection times of about 5 minutes. Due to the small tip size of the microelectrodes, breakage of the electrode within the brain typically does not produce a large release of tracer. Therefore the electrode can be replaced and neurons successfully recorded and stained within several hundred microns of the location of electrode breakage. If the electrode is clogged or the recording solution does not fill the tip of the electrode adequately, noise will be greatly increased and the electrode should be replaced. Testing electrode impedance prior to insertion into the brain greatly reduces unproductive electrode tracts and saves time. If you are attempting to record from a small region of the brain stereotaxic positioning is paramount. I use a telescope attached to the recording table to maintain a fixed stereotaxic zero. The telescope is very useful because the electrode can be placed into the electrode holder attached to the recording table and then viewed under magnification. This allows very accurate placement of the microelectrode and zeroing of replacement electrodes.</w:t>
      </w:r>
    </w:p>
    <w:p w:rsidR="00D16529" w:rsidRDefault="00D16529" w:rsidP="00643F83">
      <w:pPr>
        <w:spacing w:line="240" w:lineRule="auto"/>
        <w:rPr>
          <w:rFonts w:ascii="Times New Roman" w:hAnsi="Times New Roman"/>
        </w:rPr>
      </w:pPr>
      <w:r>
        <w:rPr>
          <w:rFonts w:ascii="Times New Roman" w:hAnsi="Times New Roman"/>
        </w:rPr>
        <w:t>A number of recent studies have used juxtacellular neuronal labeling.</w:t>
      </w:r>
      <w:r w:rsidRPr="004E7FBD">
        <w:rPr>
          <w:rFonts w:ascii="Times New Roman" w:hAnsi="Times New Roman"/>
          <w:vertAlign w:val="superscript"/>
        </w:rPr>
        <w:t>11,12</w:t>
      </w:r>
      <w:r>
        <w:rPr>
          <w:rFonts w:ascii="Times New Roman" w:hAnsi="Times New Roman"/>
        </w:rPr>
        <w:t xml:space="preserve"> With this method an electrode is placed in proximity to a neuron based upon the characteristics of the neuronal recording and a neuronal tracer is ejected. An obvious potential problem with this method is spurious labeling since tracer can be incorporated into the dendrites and axons of other neurons in the vicinity of the electrode. In addition, input-output relationships of the neuron cannot be determined because extracellularly recorded action potentials can be generated not only by synaptic input to the neuron but by intrinsic properties of the neuron. With the method reported here, neurons are only labeled while the microelectrode is actually within the neuron and thus there is no ambiguity concerning the attribution of neuronal activity to the stained neuron. This is particularly important when labeling axons because movement of the microelectrode by a few microns results in spurious labeling. Additionally, subthreshold events including synaptic potentials can be recorded from the impaled neuron. </w:t>
      </w:r>
    </w:p>
    <w:p w:rsidR="00D16529" w:rsidRDefault="00D16529" w:rsidP="00643F83">
      <w:pPr>
        <w:spacing w:line="240" w:lineRule="auto"/>
        <w:rPr>
          <w:rFonts w:ascii="Times New Roman" w:hAnsi="Times New Roman"/>
        </w:rPr>
      </w:pPr>
      <w:r>
        <w:rPr>
          <w:rFonts w:ascii="Times New Roman" w:hAnsi="Times New Roman"/>
        </w:rPr>
        <w:t>Future studies could combine this method with evoked movements. For instance cortical stimulation can evoke masticatory movements and the recording stability within the brainstem should allow intracellular recording and staining of neurons during these evoked movements. Since this technique can be done with minimal surgical intervention, it may also be possible to use this method to inject substances which alter gene expression</w:t>
      </w:r>
      <w:r w:rsidRPr="003018D4">
        <w:rPr>
          <w:rFonts w:ascii="Times New Roman" w:hAnsi="Times New Roman"/>
          <w:i/>
        </w:rPr>
        <w:t xml:space="preserve"> in vivo</w:t>
      </w:r>
      <w:r>
        <w:rPr>
          <w:rFonts w:ascii="Times New Roman" w:hAnsi="Times New Roman"/>
        </w:rPr>
        <w:t xml:space="preserve">. </w:t>
      </w:r>
    </w:p>
    <w:p w:rsidR="00D16529" w:rsidRPr="005A349B" w:rsidRDefault="00D16529" w:rsidP="00643F83">
      <w:pPr>
        <w:spacing w:line="240" w:lineRule="auto"/>
        <w:rPr>
          <w:rFonts w:ascii="Times New Roman" w:hAnsi="Times New Roman"/>
        </w:rPr>
      </w:pPr>
      <w:r w:rsidRPr="005A349B">
        <w:rPr>
          <w:rFonts w:ascii="Times New Roman" w:hAnsi="Times New Roman"/>
          <w:b/>
        </w:rPr>
        <w:t>Acknowledgements</w:t>
      </w:r>
      <w:r w:rsidRPr="005A349B">
        <w:rPr>
          <w:rFonts w:ascii="Times New Roman" w:hAnsi="Times New Roman"/>
        </w:rPr>
        <w:t xml:space="preserve">: I thank Anthony Taylor for initial training in </w:t>
      </w:r>
      <w:r w:rsidRPr="006D6220">
        <w:rPr>
          <w:rFonts w:ascii="Times New Roman" w:hAnsi="Times New Roman"/>
          <w:i/>
        </w:rPr>
        <w:t>in vivo</w:t>
      </w:r>
      <w:r w:rsidRPr="005A349B">
        <w:rPr>
          <w:rFonts w:ascii="Times New Roman" w:hAnsi="Times New Roman"/>
        </w:rPr>
        <w:t xml:space="preserve"> intracellular recording and A Brown</w:t>
      </w:r>
      <w:r>
        <w:rPr>
          <w:rFonts w:ascii="Times New Roman" w:hAnsi="Times New Roman"/>
        </w:rPr>
        <w:t xml:space="preserve"> and David Maxwell</w:t>
      </w:r>
      <w:r w:rsidRPr="005A349B">
        <w:rPr>
          <w:rFonts w:ascii="Times New Roman" w:hAnsi="Times New Roman"/>
        </w:rPr>
        <w:t xml:space="preserve"> for help with the init</w:t>
      </w:r>
      <w:r>
        <w:rPr>
          <w:rFonts w:ascii="Times New Roman" w:hAnsi="Times New Roman"/>
        </w:rPr>
        <w:t>i</w:t>
      </w:r>
      <w:r w:rsidRPr="005A349B">
        <w:rPr>
          <w:rFonts w:ascii="Times New Roman" w:hAnsi="Times New Roman"/>
        </w:rPr>
        <w:t xml:space="preserve">al development of the intracellular staining technique. I thank </w:t>
      </w:r>
      <w:r>
        <w:rPr>
          <w:rFonts w:ascii="Times New Roman" w:hAnsi="Times New Roman"/>
        </w:rPr>
        <w:t xml:space="preserve">M. Silver for help with the </w:t>
      </w:r>
      <w:r w:rsidRPr="005A349B">
        <w:rPr>
          <w:rFonts w:ascii="Times New Roman" w:hAnsi="Times New Roman"/>
        </w:rPr>
        <w:t>collocalization</w:t>
      </w:r>
      <w:r>
        <w:rPr>
          <w:rFonts w:ascii="Times New Roman" w:hAnsi="Times New Roman"/>
        </w:rPr>
        <w:t xml:space="preserve"> macro. M</w:t>
      </w:r>
      <w:r w:rsidRPr="005A349B">
        <w:rPr>
          <w:rFonts w:ascii="Times New Roman" w:hAnsi="Times New Roman"/>
        </w:rPr>
        <w:t xml:space="preserve">any </w:t>
      </w:r>
      <w:r>
        <w:rPr>
          <w:rFonts w:ascii="Times New Roman" w:hAnsi="Times New Roman"/>
        </w:rPr>
        <w:t xml:space="preserve">scholars with whom I have collaborated provided insight into the development of this technique including </w:t>
      </w:r>
      <w:r w:rsidRPr="005A349B">
        <w:rPr>
          <w:rFonts w:ascii="Times New Roman" w:hAnsi="Times New Roman"/>
        </w:rPr>
        <w:t>R</w:t>
      </w:r>
      <w:r>
        <w:rPr>
          <w:rFonts w:ascii="Times New Roman" w:hAnsi="Times New Roman"/>
        </w:rPr>
        <w:t>. Donga</w:t>
      </w:r>
      <w:r w:rsidRPr="005A349B">
        <w:rPr>
          <w:rFonts w:ascii="Times New Roman" w:hAnsi="Times New Roman"/>
        </w:rPr>
        <w:t xml:space="preserve">, </w:t>
      </w:r>
      <w:r>
        <w:rPr>
          <w:rFonts w:ascii="Times New Roman" w:hAnsi="Times New Roman"/>
        </w:rPr>
        <w:t xml:space="preserve">M. </w:t>
      </w:r>
      <w:r w:rsidRPr="005A349B">
        <w:rPr>
          <w:rFonts w:ascii="Times New Roman" w:hAnsi="Times New Roman"/>
        </w:rPr>
        <w:t xml:space="preserve">Moritani, </w:t>
      </w:r>
      <w:r>
        <w:rPr>
          <w:rFonts w:ascii="Times New Roman" w:hAnsi="Times New Roman"/>
        </w:rPr>
        <w:t xml:space="preserve">P. </w:t>
      </w:r>
      <w:r w:rsidRPr="005A349B">
        <w:rPr>
          <w:rFonts w:ascii="Times New Roman" w:hAnsi="Times New Roman"/>
        </w:rPr>
        <w:t>Luo</w:t>
      </w:r>
      <w:r>
        <w:rPr>
          <w:rFonts w:ascii="Times New Roman" w:hAnsi="Times New Roman"/>
        </w:rPr>
        <w:t>, R. Ambalavanar.  This technique was developed with considerable support from NIH grants DE10132, DE15386 and RR017971.</w:t>
      </w:r>
    </w:p>
    <w:p w:rsidR="00D16529" w:rsidRPr="005A349B" w:rsidRDefault="00D16529" w:rsidP="00643F83">
      <w:pPr>
        <w:spacing w:line="240" w:lineRule="auto"/>
        <w:rPr>
          <w:rFonts w:ascii="Times New Roman" w:hAnsi="Times New Roman"/>
        </w:rPr>
      </w:pPr>
      <w:r w:rsidRPr="005A349B">
        <w:rPr>
          <w:rFonts w:ascii="Times New Roman" w:hAnsi="Times New Roman"/>
          <w:b/>
        </w:rPr>
        <w:t>Disclosures</w:t>
      </w:r>
      <w:r w:rsidRPr="005A349B">
        <w:rPr>
          <w:rFonts w:ascii="Times New Roman" w:hAnsi="Times New Roman"/>
        </w:rPr>
        <w:t>: I have nothing to disclose.</w:t>
      </w:r>
    </w:p>
    <w:p w:rsidR="00D16529" w:rsidRPr="005A349B" w:rsidRDefault="00D16529" w:rsidP="00643F83">
      <w:pPr>
        <w:spacing w:line="240" w:lineRule="auto"/>
        <w:rPr>
          <w:rFonts w:ascii="Times New Roman" w:hAnsi="Times New Roman"/>
          <w:b/>
        </w:rPr>
      </w:pPr>
      <w:r w:rsidRPr="005A349B">
        <w:rPr>
          <w:rFonts w:ascii="Times New Roman" w:hAnsi="Times New Roman"/>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2394"/>
      </w:tblGrid>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Name of reagent or equipment</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Company</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Catalogue number</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Comments</w:t>
            </w:r>
          </w:p>
        </w:tc>
      </w:tr>
      <w:tr w:rsidR="00D16529" w:rsidRPr="00E8217D">
        <w:tc>
          <w:tcPr>
            <w:tcW w:w="2394" w:type="dxa"/>
          </w:tcPr>
          <w:p w:rsidR="00D16529" w:rsidRPr="00E8217D" w:rsidRDefault="00D16529" w:rsidP="00E8217D">
            <w:pPr>
              <w:spacing w:after="0" w:line="240" w:lineRule="auto"/>
              <w:rPr>
                <w:rFonts w:ascii="Times New Roman" w:hAnsi="Times New Roman"/>
              </w:rPr>
            </w:pPr>
            <w:r w:rsidRPr="00E8217D">
              <w:rPr>
                <w:rFonts w:ascii="Times New Roman" w:hAnsi="Times New Roman"/>
              </w:rPr>
              <w:t>electromagnetic vibrator</w:t>
            </w:r>
          </w:p>
        </w:tc>
        <w:tc>
          <w:tcPr>
            <w:tcW w:w="2394" w:type="dxa"/>
          </w:tcPr>
          <w:p w:rsidR="00D16529" w:rsidRPr="00E8217D" w:rsidRDefault="00D16529" w:rsidP="00E8217D">
            <w:pPr>
              <w:spacing w:after="0" w:line="240" w:lineRule="auto"/>
              <w:rPr>
                <w:rFonts w:ascii="Times New Roman" w:hAnsi="Times New Roman"/>
              </w:rPr>
            </w:pPr>
            <w:r w:rsidRPr="00E8217D">
              <w:rPr>
                <w:rFonts w:ascii="Times New Roman" w:hAnsi="Times New Roman"/>
              </w:rPr>
              <w:t>Ling Dynamic Systems</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V101</w:t>
            </w:r>
          </w:p>
        </w:tc>
        <w:tc>
          <w:tcPr>
            <w:tcW w:w="2394" w:type="dxa"/>
          </w:tcPr>
          <w:p w:rsidR="00D16529" w:rsidRPr="00E8217D" w:rsidRDefault="00D16529" w:rsidP="00E8217D">
            <w:pPr>
              <w:spacing w:after="0" w:line="240" w:lineRule="auto"/>
              <w:rPr>
                <w:rFonts w:ascii="Times New Roman" w:hAnsi="Times New Roman"/>
              </w:rPr>
            </w:pP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signal generator</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Feedback Systems</w:t>
            </w:r>
          </w:p>
        </w:tc>
        <w:tc>
          <w:tcPr>
            <w:tcW w:w="2394" w:type="dxa"/>
            <w:vAlign w:val="center"/>
          </w:tcPr>
          <w:p w:rsidR="00D16529" w:rsidRPr="00E8217D" w:rsidRDefault="00D16529" w:rsidP="000E0F17">
            <w:pPr>
              <w:spacing w:after="0" w:line="240" w:lineRule="auto"/>
              <w:jc w:val="center"/>
              <w:rPr>
                <w:rFonts w:ascii="Times New Roman" w:hAnsi="Times New Roman"/>
              </w:rPr>
            </w:pPr>
            <w:r>
              <w:rPr>
                <w:rFonts w:ascii="Times New Roman" w:hAnsi="Times New Roman"/>
              </w:rPr>
              <w:t>PFG605</w:t>
            </w:r>
          </w:p>
        </w:tc>
        <w:tc>
          <w:tcPr>
            <w:tcW w:w="2394" w:type="dxa"/>
            <w:vAlign w:val="center"/>
          </w:tcPr>
          <w:p w:rsidR="00D16529" w:rsidRPr="00E8217D" w:rsidRDefault="00D16529" w:rsidP="00E8217D">
            <w:pPr>
              <w:spacing w:after="0" w:line="240" w:lineRule="auto"/>
              <w:rPr>
                <w:rFonts w:ascii="Times New Roman" w:hAnsi="Times New Roman"/>
              </w:rPr>
            </w:pPr>
            <w:r w:rsidRPr="00E8217D">
              <w:rPr>
                <w:rFonts w:ascii="Times New Roman" w:hAnsi="Times New Roman"/>
              </w:rPr>
              <w:t>capable of producing trapezoidal output signal</w:t>
            </w: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electrode glass</w:t>
            </w:r>
          </w:p>
        </w:tc>
        <w:tc>
          <w:tcPr>
            <w:tcW w:w="2394" w:type="dxa"/>
            <w:vAlign w:val="center"/>
          </w:tcPr>
          <w:p w:rsidR="00D16529" w:rsidRPr="00E8217D" w:rsidRDefault="00D16529" w:rsidP="00512E43">
            <w:pPr>
              <w:spacing w:after="0" w:line="240" w:lineRule="auto"/>
              <w:jc w:val="center"/>
              <w:rPr>
                <w:rFonts w:ascii="Times New Roman" w:hAnsi="Times New Roman"/>
              </w:rPr>
            </w:pPr>
            <w:r>
              <w:rPr>
                <w:rFonts w:ascii="Times New Roman" w:hAnsi="Times New Roman"/>
              </w:rPr>
              <w:t>Sutter Instruments</w:t>
            </w:r>
          </w:p>
        </w:tc>
        <w:tc>
          <w:tcPr>
            <w:tcW w:w="2394" w:type="dxa"/>
            <w:vAlign w:val="center"/>
          </w:tcPr>
          <w:p w:rsidR="00D16529" w:rsidRPr="00E8217D" w:rsidRDefault="00D16529" w:rsidP="000E0F17">
            <w:pPr>
              <w:spacing w:after="0" w:line="240" w:lineRule="auto"/>
              <w:jc w:val="center"/>
              <w:rPr>
                <w:rFonts w:ascii="Times New Roman" w:hAnsi="Times New Roman"/>
              </w:rPr>
            </w:pPr>
            <w:r>
              <w:rPr>
                <w:rFonts w:ascii="Times New Roman" w:hAnsi="Times New Roman"/>
              </w:rPr>
              <w:t>AF100-68-10</w:t>
            </w:r>
          </w:p>
        </w:tc>
        <w:tc>
          <w:tcPr>
            <w:tcW w:w="2394" w:type="dxa"/>
          </w:tcPr>
          <w:p w:rsidR="00D16529" w:rsidRPr="00E8217D" w:rsidRDefault="00D16529" w:rsidP="00E8217D">
            <w:pPr>
              <w:spacing w:after="0" w:line="240" w:lineRule="auto"/>
              <w:rPr>
                <w:rFonts w:ascii="Times New Roman" w:hAnsi="Times New Roman"/>
              </w:rPr>
            </w:pPr>
            <w:r w:rsidRPr="00E8217D">
              <w:rPr>
                <w:rFonts w:ascii="Times New Roman" w:hAnsi="Times New Roman"/>
              </w:rPr>
              <w:t>with filament</w:t>
            </w: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electrode puller</w:t>
            </w:r>
          </w:p>
        </w:tc>
        <w:tc>
          <w:tcPr>
            <w:tcW w:w="2394" w:type="dxa"/>
            <w:vAlign w:val="center"/>
          </w:tcPr>
          <w:p w:rsidR="00D16529" w:rsidRPr="00E8217D" w:rsidRDefault="00D16529" w:rsidP="00F9202B">
            <w:pPr>
              <w:spacing w:after="0" w:line="240" w:lineRule="auto"/>
              <w:jc w:val="center"/>
              <w:rPr>
                <w:rFonts w:ascii="Times New Roman" w:hAnsi="Times New Roman"/>
              </w:rPr>
            </w:pPr>
            <w:r w:rsidRPr="00E8217D">
              <w:rPr>
                <w:rFonts w:ascii="Times New Roman" w:hAnsi="Times New Roman"/>
              </w:rPr>
              <w:t>Sutter Instruments</w:t>
            </w:r>
          </w:p>
        </w:tc>
        <w:tc>
          <w:tcPr>
            <w:tcW w:w="2394" w:type="dxa"/>
          </w:tcPr>
          <w:p w:rsidR="00D16529" w:rsidRPr="00E8217D" w:rsidRDefault="00D16529" w:rsidP="00E8217D">
            <w:pPr>
              <w:spacing w:after="0" w:line="240" w:lineRule="auto"/>
              <w:rPr>
                <w:rFonts w:ascii="Times New Roman" w:hAnsi="Times New Roman"/>
              </w:rPr>
            </w:pPr>
            <w:r w:rsidRPr="00E8217D">
              <w:rPr>
                <w:rFonts w:ascii="Times New Roman" w:hAnsi="Times New Roman"/>
              </w:rPr>
              <w:t>Model P-2000 or P-80</w:t>
            </w:r>
          </w:p>
        </w:tc>
        <w:tc>
          <w:tcPr>
            <w:tcW w:w="2394" w:type="dxa"/>
          </w:tcPr>
          <w:p w:rsidR="00D16529" w:rsidRPr="00E8217D" w:rsidRDefault="00D16529" w:rsidP="00E8217D">
            <w:pPr>
              <w:spacing w:after="0" w:line="240" w:lineRule="auto"/>
              <w:rPr>
                <w:rFonts w:ascii="Times New Roman" w:hAnsi="Times New Roman"/>
              </w:rPr>
            </w:pP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biotinamide</w:t>
            </w:r>
          </w:p>
        </w:tc>
        <w:tc>
          <w:tcPr>
            <w:tcW w:w="2394" w:type="dxa"/>
            <w:vAlign w:val="center"/>
          </w:tcPr>
          <w:p w:rsidR="00D16529" w:rsidRPr="00E8217D" w:rsidRDefault="00D16529" w:rsidP="00B423D4">
            <w:pPr>
              <w:spacing w:after="0" w:line="240" w:lineRule="auto"/>
              <w:jc w:val="center"/>
              <w:rPr>
                <w:rFonts w:ascii="Times New Roman" w:hAnsi="Times New Roman"/>
              </w:rPr>
            </w:pPr>
            <w:r>
              <w:rPr>
                <w:rFonts w:ascii="Times New Roman" w:hAnsi="Times New Roman"/>
              </w:rPr>
              <w:t>Vector Laboratories</w:t>
            </w:r>
          </w:p>
        </w:tc>
        <w:tc>
          <w:tcPr>
            <w:tcW w:w="2394" w:type="dxa"/>
            <w:vAlign w:val="center"/>
          </w:tcPr>
          <w:p w:rsidR="00D16529" w:rsidRPr="00E8217D" w:rsidRDefault="00D16529" w:rsidP="000E0F17">
            <w:pPr>
              <w:spacing w:after="0" w:line="240" w:lineRule="auto"/>
              <w:jc w:val="center"/>
              <w:rPr>
                <w:rFonts w:ascii="Times New Roman" w:hAnsi="Times New Roman"/>
              </w:rPr>
            </w:pPr>
            <w:r>
              <w:rPr>
                <w:rFonts w:ascii="Times New Roman" w:hAnsi="Times New Roman"/>
              </w:rPr>
              <w:t>SP-1120</w:t>
            </w:r>
          </w:p>
        </w:tc>
        <w:tc>
          <w:tcPr>
            <w:tcW w:w="2394" w:type="dxa"/>
          </w:tcPr>
          <w:p w:rsidR="00D16529" w:rsidRPr="00E8217D" w:rsidRDefault="00D16529" w:rsidP="00E8217D">
            <w:pPr>
              <w:spacing w:after="0" w:line="240" w:lineRule="auto"/>
              <w:rPr>
                <w:rFonts w:ascii="Times New Roman" w:hAnsi="Times New Roman"/>
              </w:rPr>
            </w:pPr>
            <w:r w:rsidRPr="00E8217D">
              <w:rPr>
                <w:rFonts w:ascii="Times New Roman" w:hAnsi="Times New Roman"/>
              </w:rPr>
              <w:t>stored at 4</w:t>
            </w:r>
            <w:r w:rsidRPr="00E8217D">
              <w:rPr>
                <w:rFonts w:ascii="Times New Roman" w:hAnsi="Times New Roman"/>
                <w:vertAlign w:val="superscript"/>
              </w:rPr>
              <w:t>o</w:t>
            </w:r>
            <w:r w:rsidRPr="00E8217D">
              <w:rPr>
                <w:rFonts w:ascii="Times New Roman" w:hAnsi="Times New Roman"/>
              </w:rPr>
              <w:t>C</w:t>
            </w:r>
          </w:p>
        </w:tc>
      </w:tr>
      <w:tr w:rsidR="00D16529" w:rsidRPr="00E8217D">
        <w:tc>
          <w:tcPr>
            <w:tcW w:w="2394" w:type="dxa"/>
            <w:vAlign w:val="center"/>
          </w:tcPr>
          <w:p w:rsidR="00D16529" w:rsidRDefault="00D16529" w:rsidP="00E8217D">
            <w:pPr>
              <w:spacing w:after="0" w:line="240" w:lineRule="auto"/>
              <w:jc w:val="center"/>
              <w:rPr>
                <w:rFonts w:ascii="Times New Roman" w:hAnsi="Times New Roman"/>
              </w:rPr>
            </w:pPr>
            <w:r>
              <w:rPr>
                <w:rFonts w:ascii="Times New Roman" w:hAnsi="Times New Roman"/>
              </w:rPr>
              <w:t>Texas Red avidin DCS</w:t>
            </w:r>
          </w:p>
        </w:tc>
        <w:tc>
          <w:tcPr>
            <w:tcW w:w="2394" w:type="dxa"/>
            <w:vAlign w:val="center"/>
          </w:tcPr>
          <w:p w:rsidR="00D16529" w:rsidRDefault="00D16529" w:rsidP="00E8217D">
            <w:pPr>
              <w:spacing w:after="0" w:line="240" w:lineRule="auto"/>
              <w:jc w:val="center"/>
              <w:rPr>
                <w:rFonts w:ascii="Times New Roman" w:hAnsi="Times New Roman"/>
              </w:rPr>
            </w:pPr>
            <w:r>
              <w:rPr>
                <w:rFonts w:ascii="Times New Roman" w:hAnsi="Times New Roman"/>
              </w:rPr>
              <w:t>Vector Laboratories</w:t>
            </w:r>
          </w:p>
        </w:tc>
        <w:tc>
          <w:tcPr>
            <w:tcW w:w="2394" w:type="dxa"/>
            <w:vAlign w:val="center"/>
          </w:tcPr>
          <w:p w:rsidR="00D16529" w:rsidRDefault="00D16529" w:rsidP="00E8217D">
            <w:pPr>
              <w:spacing w:after="0" w:line="240" w:lineRule="auto"/>
              <w:jc w:val="center"/>
              <w:rPr>
                <w:rFonts w:ascii="Times New Roman" w:hAnsi="Times New Roman"/>
              </w:rPr>
            </w:pPr>
            <w:r>
              <w:rPr>
                <w:rFonts w:ascii="Times New Roman" w:hAnsi="Times New Roman"/>
              </w:rPr>
              <w:t>A-2016</w:t>
            </w:r>
          </w:p>
        </w:tc>
        <w:tc>
          <w:tcPr>
            <w:tcW w:w="2394" w:type="dxa"/>
            <w:vAlign w:val="center"/>
          </w:tcPr>
          <w:p w:rsidR="00D16529" w:rsidRDefault="00D16529" w:rsidP="00E8217D">
            <w:pPr>
              <w:spacing w:after="0" w:line="240" w:lineRule="auto"/>
              <w:rPr>
                <w:rFonts w:ascii="Times New Roman" w:hAnsi="Times New Roman"/>
              </w:rPr>
            </w:pP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tetramethlyrhodamine</w:t>
            </w:r>
          </w:p>
        </w:tc>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Molecular Probes</w:t>
            </w:r>
          </w:p>
        </w:tc>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D-3308</w:t>
            </w:r>
          </w:p>
        </w:tc>
        <w:tc>
          <w:tcPr>
            <w:tcW w:w="2394" w:type="dxa"/>
            <w:vAlign w:val="center"/>
          </w:tcPr>
          <w:p w:rsidR="00D16529" w:rsidRPr="00E8217D" w:rsidRDefault="00D16529" w:rsidP="00E8217D">
            <w:pPr>
              <w:spacing w:after="0" w:line="240" w:lineRule="auto"/>
              <w:rPr>
                <w:rFonts w:ascii="Times New Roman" w:hAnsi="Times New Roman"/>
              </w:rPr>
            </w:pPr>
            <w:r>
              <w:rPr>
                <w:rFonts w:ascii="Times New Roman" w:hAnsi="Times New Roman"/>
              </w:rPr>
              <w:t>3000 molecular weight, lysine fixable</w:t>
            </w: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mouse anti-synaptophysin antibody</w:t>
            </w:r>
          </w:p>
        </w:tc>
        <w:tc>
          <w:tcPr>
            <w:tcW w:w="2394" w:type="dxa"/>
            <w:vAlign w:val="center"/>
          </w:tcPr>
          <w:p w:rsidR="00D16529" w:rsidRPr="00E8217D" w:rsidRDefault="00D16529" w:rsidP="00A65481">
            <w:pPr>
              <w:spacing w:after="0" w:line="240" w:lineRule="auto"/>
              <w:jc w:val="center"/>
              <w:rPr>
                <w:rFonts w:ascii="Times New Roman" w:hAnsi="Times New Roman"/>
              </w:rPr>
            </w:pPr>
            <w:r>
              <w:rPr>
                <w:rFonts w:ascii="Times New Roman" w:hAnsi="Times New Roman"/>
              </w:rPr>
              <w:t>Chemicon</w:t>
            </w:r>
          </w:p>
        </w:tc>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MAB5258</w:t>
            </w:r>
          </w:p>
        </w:tc>
        <w:tc>
          <w:tcPr>
            <w:tcW w:w="2394" w:type="dxa"/>
            <w:vAlign w:val="center"/>
          </w:tcPr>
          <w:p w:rsidR="00D16529" w:rsidRPr="00E8217D" w:rsidRDefault="00D16529" w:rsidP="00E8217D">
            <w:pPr>
              <w:spacing w:after="0" w:line="240" w:lineRule="auto"/>
              <w:rPr>
                <w:rFonts w:ascii="Times New Roman" w:hAnsi="Times New Roman"/>
              </w:rPr>
            </w:pP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fluorescent Nissl stain</w:t>
            </w:r>
          </w:p>
        </w:tc>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Neurotrace, Molecular Probes</w:t>
            </w:r>
          </w:p>
        </w:tc>
        <w:tc>
          <w:tcPr>
            <w:tcW w:w="2394" w:type="dxa"/>
            <w:vAlign w:val="center"/>
          </w:tcPr>
          <w:p w:rsidR="00D16529" w:rsidRPr="00E8217D" w:rsidRDefault="00D16529" w:rsidP="00E8217D">
            <w:pPr>
              <w:spacing w:after="0" w:line="240" w:lineRule="auto"/>
              <w:jc w:val="center"/>
              <w:rPr>
                <w:rFonts w:ascii="Times New Roman" w:hAnsi="Times New Roman"/>
              </w:rPr>
            </w:pPr>
            <w:r>
              <w:rPr>
                <w:rFonts w:ascii="Times New Roman" w:hAnsi="Times New Roman"/>
              </w:rPr>
              <w:t>N-21480</w:t>
            </w:r>
          </w:p>
        </w:tc>
        <w:tc>
          <w:tcPr>
            <w:tcW w:w="2394" w:type="dxa"/>
            <w:vAlign w:val="center"/>
          </w:tcPr>
          <w:p w:rsidR="00D16529" w:rsidRPr="00E8217D" w:rsidRDefault="00D16529" w:rsidP="00E8217D">
            <w:pPr>
              <w:spacing w:after="0" w:line="240" w:lineRule="auto"/>
              <w:rPr>
                <w:rFonts w:ascii="Times New Roman" w:hAnsi="Times New Roman"/>
              </w:rPr>
            </w:pP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electrode tester</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Winston Electronics</w:t>
            </w:r>
          </w:p>
        </w:tc>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BL-1000-B</w:t>
            </w:r>
          </w:p>
        </w:tc>
        <w:tc>
          <w:tcPr>
            <w:tcW w:w="2394" w:type="dxa"/>
            <w:vAlign w:val="center"/>
          </w:tcPr>
          <w:p w:rsidR="00D16529" w:rsidRPr="00E8217D" w:rsidRDefault="00D16529" w:rsidP="00E8217D">
            <w:pPr>
              <w:spacing w:after="0" w:line="240" w:lineRule="auto"/>
              <w:rPr>
                <w:rFonts w:ascii="Times New Roman" w:hAnsi="Times New Roman"/>
              </w:rPr>
            </w:pPr>
            <w:r w:rsidRPr="00E8217D">
              <w:rPr>
                <w:rFonts w:ascii="Times New Roman" w:hAnsi="Times New Roman"/>
              </w:rPr>
              <w:t>to measure electrode impedance</w:t>
            </w:r>
          </w:p>
        </w:tc>
      </w:tr>
      <w:tr w:rsidR="00D16529" w:rsidRPr="00E8217D">
        <w:tc>
          <w:tcPr>
            <w:tcW w:w="2394" w:type="dxa"/>
            <w:vAlign w:val="center"/>
          </w:tcPr>
          <w:p w:rsidR="00D16529" w:rsidRPr="00E8217D" w:rsidRDefault="00D16529" w:rsidP="00E8217D">
            <w:pPr>
              <w:spacing w:after="0" w:line="240" w:lineRule="auto"/>
              <w:jc w:val="center"/>
              <w:rPr>
                <w:rFonts w:ascii="Times New Roman" w:hAnsi="Times New Roman"/>
              </w:rPr>
            </w:pPr>
            <w:r w:rsidRPr="00E8217D">
              <w:rPr>
                <w:rFonts w:ascii="Times New Roman" w:hAnsi="Times New Roman"/>
              </w:rPr>
              <w:t>electrometer</w:t>
            </w:r>
          </w:p>
        </w:tc>
        <w:tc>
          <w:tcPr>
            <w:tcW w:w="2394" w:type="dxa"/>
            <w:vAlign w:val="center"/>
          </w:tcPr>
          <w:p w:rsidR="00D16529" w:rsidRPr="00E8217D" w:rsidRDefault="00D16529" w:rsidP="00F9202B">
            <w:pPr>
              <w:spacing w:after="0" w:line="240" w:lineRule="auto"/>
              <w:jc w:val="center"/>
              <w:rPr>
                <w:rFonts w:ascii="Times New Roman" w:hAnsi="Times New Roman"/>
              </w:rPr>
            </w:pPr>
            <w:r w:rsidRPr="00E8217D">
              <w:rPr>
                <w:rFonts w:ascii="Times New Roman" w:hAnsi="Times New Roman"/>
              </w:rPr>
              <w:t>Axon Instruments</w:t>
            </w:r>
          </w:p>
        </w:tc>
        <w:tc>
          <w:tcPr>
            <w:tcW w:w="2394" w:type="dxa"/>
          </w:tcPr>
          <w:p w:rsidR="00D16529" w:rsidRPr="00E8217D" w:rsidRDefault="00D16529" w:rsidP="00E8217D">
            <w:pPr>
              <w:spacing w:after="0" w:line="240" w:lineRule="auto"/>
              <w:rPr>
                <w:rFonts w:ascii="Times New Roman" w:hAnsi="Times New Roman"/>
              </w:rPr>
            </w:pPr>
            <w:r>
              <w:rPr>
                <w:rFonts w:ascii="Times New Roman" w:hAnsi="Times New Roman"/>
              </w:rPr>
              <w:t>Axoprobe 1A, Axoclamp 2B</w:t>
            </w:r>
          </w:p>
        </w:tc>
        <w:tc>
          <w:tcPr>
            <w:tcW w:w="2394" w:type="dxa"/>
          </w:tcPr>
          <w:p w:rsidR="00D16529" w:rsidRPr="00E8217D" w:rsidRDefault="00D16529" w:rsidP="00E8217D">
            <w:pPr>
              <w:spacing w:after="0" w:line="240" w:lineRule="auto"/>
              <w:rPr>
                <w:rFonts w:ascii="Times New Roman" w:hAnsi="Times New Roman"/>
              </w:rPr>
            </w:pPr>
          </w:p>
        </w:tc>
      </w:tr>
    </w:tbl>
    <w:p w:rsidR="00D16529" w:rsidRPr="005A349B" w:rsidRDefault="00D16529" w:rsidP="00643F83">
      <w:pPr>
        <w:spacing w:line="240" w:lineRule="auto"/>
        <w:rPr>
          <w:rFonts w:ascii="Times New Roman" w:hAnsi="Times New Roman"/>
        </w:rPr>
      </w:pPr>
    </w:p>
    <w:p w:rsidR="00D16529" w:rsidRPr="005A349B" w:rsidRDefault="00D16529" w:rsidP="00643F83">
      <w:pPr>
        <w:spacing w:line="240" w:lineRule="auto"/>
        <w:rPr>
          <w:rFonts w:ascii="Times New Roman" w:hAnsi="Times New Roman"/>
        </w:rPr>
      </w:pPr>
      <w:r w:rsidRPr="005A349B">
        <w:rPr>
          <w:rFonts w:ascii="Times New Roman" w:hAnsi="Times New Roman"/>
          <w:b/>
        </w:rPr>
        <w:t>References</w:t>
      </w:r>
      <w:r w:rsidRPr="005A349B">
        <w:rPr>
          <w:rFonts w:ascii="Times New Roman" w:hAnsi="Times New Roman"/>
        </w:rPr>
        <w:t>:</w:t>
      </w:r>
    </w:p>
    <w:p w:rsidR="00D16529" w:rsidRDefault="00D16529" w:rsidP="004C218B">
      <w:pPr>
        <w:spacing w:line="240" w:lineRule="auto"/>
        <w:rPr>
          <w:rFonts w:ascii="Times New Roman" w:hAnsi="Times New Roman"/>
        </w:rPr>
      </w:pPr>
      <w:r>
        <w:rPr>
          <w:rFonts w:ascii="Times New Roman" w:hAnsi="Times New Roman"/>
        </w:rPr>
        <w:t>1.   Cuellar C.A., Tapia, J.A., Juarez, V., Quevedo, J., Linares, P., Marinez, L, Manjarrez, E. Propagation of sinusoidal electrical waves along the spinal cord during a fictive motor task. J. Neurosci. 29, 798-810 (2010).</w:t>
      </w:r>
    </w:p>
    <w:p w:rsidR="00D16529" w:rsidRDefault="00D16529" w:rsidP="00643F83">
      <w:pPr>
        <w:spacing w:line="240" w:lineRule="auto"/>
        <w:rPr>
          <w:rFonts w:ascii="Times New Roman" w:hAnsi="Times New Roman"/>
        </w:rPr>
      </w:pPr>
      <w:r>
        <w:rPr>
          <w:rFonts w:ascii="Times New Roman" w:hAnsi="Times New Roman"/>
        </w:rPr>
        <w:t>2.   Frigon, A., Gossard, J. Evidence for specialized rhythm-generating mechanisms in the adult mammalian spinal cord. J. Neurosci. 30, 7061-7071 (2010).</w:t>
      </w:r>
    </w:p>
    <w:p w:rsidR="00D16529" w:rsidRDefault="00D16529" w:rsidP="00643F83">
      <w:pPr>
        <w:spacing w:line="240" w:lineRule="auto"/>
        <w:rPr>
          <w:rFonts w:ascii="Times New Roman" w:hAnsi="Times New Roman"/>
        </w:rPr>
      </w:pPr>
      <w:r>
        <w:rPr>
          <w:rFonts w:ascii="Times New Roman" w:hAnsi="Times New Roman"/>
        </w:rPr>
        <w:t>3.   Wang, W., Chan, S.S., Heldman, D.A., Moran, D.W. Motor cortical representation of hand translation and rotation during reaching. J. Neurosci. 30, 958-962 (2010).</w:t>
      </w:r>
    </w:p>
    <w:p w:rsidR="00D16529" w:rsidRDefault="00D16529" w:rsidP="00643F83">
      <w:pPr>
        <w:spacing w:line="240" w:lineRule="auto"/>
        <w:rPr>
          <w:rFonts w:ascii="Times New Roman" w:hAnsi="Times New Roman"/>
        </w:rPr>
      </w:pPr>
      <w:r>
        <w:rPr>
          <w:rFonts w:ascii="Times New Roman" w:hAnsi="Times New Roman"/>
        </w:rPr>
        <w:t>4.   Ma, C., He, J. A method for investigating cortical control of stand and squat in conscious behavioral monkeys. J. Neurosci. Meth. 192, 1-6 (2010).</w:t>
      </w:r>
    </w:p>
    <w:p w:rsidR="00D16529" w:rsidRDefault="00D16529" w:rsidP="00643F83">
      <w:pPr>
        <w:spacing w:line="240" w:lineRule="auto"/>
        <w:rPr>
          <w:rFonts w:ascii="Times New Roman" w:hAnsi="Times New Roman"/>
        </w:rPr>
      </w:pPr>
      <w:r>
        <w:rPr>
          <w:rFonts w:ascii="Times New Roman" w:hAnsi="Times New Roman"/>
        </w:rPr>
        <w:t xml:space="preserve">5.   Dessem, D., Donga, R., Luo, P. Primary- and secondary-like jaw-muscle spindle afferents have characteristic topographic distributions. J. Neurophysiol. 77, 2925-2944 (1997). </w:t>
      </w:r>
    </w:p>
    <w:p w:rsidR="00D16529" w:rsidRDefault="00D16529" w:rsidP="00643F83">
      <w:pPr>
        <w:spacing w:line="240" w:lineRule="auto"/>
        <w:rPr>
          <w:rFonts w:ascii="Times New Roman" w:hAnsi="Times New Roman"/>
        </w:rPr>
      </w:pPr>
      <w:r>
        <w:rPr>
          <w:rFonts w:ascii="Times New Roman" w:hAnsi="Times New Roman"/>
        </w:rPr>
        <w:t>6.   Dessem, D., Moritaini, A., Ambalavanar, R. Nociceptive craniofacial muscle primary afferent neurons synapse in both the rostral and caudal brain stem. J. Neurophysiol. 98, 214-223 (2007).</w:t>
      </w:r>
    </w:p>
    <w:p w:rsidR="00D16529" w:rsidRDefault="00D16529" w:rsidP="00E76B05">
      <w:pPr>
        <w:spacing w:line="240" w:lineRule="auto"/>
        <w:rPr>
          <w:rFonts w:ascii="Times New Roman" w:hAnsi="Times New Roman"/>
        </w:rPr>
      </w:pPr>
      <w:r>
        <w:rPr>
          <w:rFonts w:ascii="Times New Roman" w:hAnsi="Times New Roman"/>
        </w:rPr>
        <w:t>7.   Luo, P., Dessem D. Inputs from identified jaw-muscle spindle afferents to trigeminothalamic neurons in the rat: a double-labeling study using retrograde HRP and intracellular biotinamide. J. Comp. Neurol. 353,50-66 (1995).</w:t>
      </w:r>
    </w:p>
    <w:p w:rsidR="00D16529" w:rsidRDefault="00D16529" w:rsidP="00E76B05">
      <w:pPr>
        <w:spacing w:line="240" w:lineRule="auto"/>
        <w:rPr>
          <w:rFonts w:ascii="Times New Roman" w:hAnsi="Times New Roman"/>
        </w:rPr>
      </w:pPr>
      <w:r>
        <w:rPr>
          <w:rFonts w:ascii="Times New Roman" w:hAnsi="Times New Roman"/>
        </w:rPr>
        <w:t>8.   Dessem, D., &amp; Luo, P. Jaw-muscle spindle afferent feedback to the cervical spinal cord in the rat. J. Comp. Neurol. 128, 451-459 (1999).</w:t>
      </w:r>
    </w:p>
    <w:p w:rsidR="00D16529" w:rsidRDefault="00D16529" w:rsidP="00E76B05">
      <w:pPr>
        <w:spacing w:line="240" w:lineRule="auto"/>
        <w:rPr>
          <w:rFonts w:ascii="Times New Roman" w:hAnsi="Times New Roman"/>
        </w:rPr>
      </w:pPr>
      <w:r>
        <w:rPr>
          <w:rFonts w:ascii="Times New Roman" w:hAnsi="Times New Roman"/>
        </w:rPr>
        <w:t>9.   Luo, P., Wong, R., Dessem, D. Projection of jaw-muscle spindle afferents to the caudal brainstem in rats demonstrated using intracellular biotinamide. J. Comp. Neurol. 358, 63-78 (1995).</w:t>
      </w:r>
    </w:p>
    <w:p w:rsidR="00D16529" w:rsidRDefault="00D16529" w:rsidP="00E76B05">
      <w:pPr>
        <w:spacing w:line="240" w:lineRule="auto"/>
        <w:rPr>
          <w:rFonts w:ascii="Times New Roman" w:hAnsi="Times New Roman"/>
        </w:rPr>
      </w:pPr>
      <w:r>
        <w:rPr>
          <w:rFonts w:ascii="Times New Roman" w:hAnsi="Times New Roman"/>
        </w:rPr>
        <w:t>10.   Luo, P., Dessem, D. Ultrastructural anatomy of physiologically identified jaw-muscle spindle afferent terminations onto retrogradely labeled jaw-elevator motoneurons in the rat. J. Comp. Neurol. 406, 384-401 (1999).</w:t>
      </w:r>
    </w:p>
    <w:p w:rsidR="00D16529" w:rsidRDefault="00D16529" w:rsidP="00643F83">
      <w:pPr>
        <w:spacing w:line="240" w:lineRule="auto"/>
        <w:rPr>
          <w:rFonts w:ascii="Times New Roman" w:hAnsi="Times New Roman"/>
        </w:rPr>
      </w:pPr>
      <w:r>
        <w:rPr>
          <w:rFonts w:ascii="Times New Roman" w:hAnsi="Times New Roman"/>
        </w:rPr>
        <w:t>11.   Hassani, O.K., Henny, P., Lee, M.G., Jones, B.E. GABAergic neurons intermingled with orexin and MCH neurons in the lateral hypothalamus discharge maximally during sleep. Eur. J. Neurosci. 32, 448-457 (2010).</w:t>
      </w:r>
    </w:p>
    <w:p w:rsidR="00D16529" w:rsidRPr="005A349B" w:rsidRDefault="00D16529" w:rsidP="00643F83">
      <w:pPr>
        <w:spacing w:line="240" w:lineRule="auto"/>
        <w:rPr>
          <w:rFonts w:ascii="Times New Roman" w:hAnsi="Times New Roman"/>
        </w:rPr>
      </w:pPr>
      <w:r>
        <w:rPr>
          <w:rFonts w:ascii="Times New Roman" w:hAnsi="Times New Roman"/>
        </w:rPr>
        <w:t>12.   Inokawa, H., Yamada, H., Matsumoto, N., Muranishi, M., Kimura, M. Juxtacellular labeling of tonically active neurons and phasically active neurons in the rat striatum. Neuroscience 168, 395-404 (2010).</w:t>
      </w:r>
    </w:p>
    <w:p w:rsidR="00D16529" w:rsidRDefault="00D16529">
      <w:pPr>
        <w:spacing w:after="0" w:line="240" w:lineRule="auto"/>
        <w:rPr>
          <w:rFonts w:ascii="Times New Roman" w:hAnsi="Times New Roman"/>
        </w:rPr>
      </w:pPr>
      <w:r>
        <w:rPr>
          <w:rFonts w:ascii="Times New Roman" w:hAnsi="Times New Roman"/>
        </w:rPr>
        <w:br w:type="page"/>
      </w:r>
    </w:p>
    <w:p w:rsidR="00D16529" w:rsidRDefault="00D16529" w:rsidP="00020D5A">
      <w:pPr>
        <w:spacing w:line="240" w:lineRule="auto"/>
        <w:rPr>
          <w:rFonts w:ascii="Times New Roman" w:hAnsi="Times New Roman"/>
        </w:rPr>
      </w:pPr>
      <w:r>
        <w:rPr>
          <w:rFonts w:ascii="Times New Roman" w:hAnsi="Times New Roman"/>
        </w:rPr>
        <w:t>Experiments on animals were performed in accordance with the guidlines and regulation set forth in the Guide for the Care and Use of Laboratory Animals (NIH Publication No. 86-23, revised 1985) and the University of Maryland Animal Care and Use Committee.</w:t>
      </w:r>
    </w:p>
    <w:sectPr w:rsidR="00D16529" w:rsidSect="00C97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2CD"/>
    <w:rsid w:val="00020D5A"/>
    <w:rsid w:val="00022E97"/>
    <w:rsid w:val="00022FAA"/>
    <w:rsid w:val="000274E7"/>
    <w:rsid w:val="000313D2"/>
    <w:rsid w:val="0004022E"/>
    <w:rsid w:val="000420E8"/>
    <w:rsid w:val="00053F8E"/>
    <w:rsid w:val="00060FDA"/>
    <w:rsid w:val="00070703"/>
    <w:rsid w:val="00085E94"/>
    <w:rsid w:val="000A554B"/>
    <w:rsid w:val="000B5A1E"/>
    <w:rsid w:val="000C1296"/>
    <w:rsid w:val="000D0303"/>
    <w:rsid w:val="000D0454"/>
    <w:rsid w:val="000D0670"/>
    <w:rsid w:val="000D1257"/>
    <w:rsid w:val="000D77AC"/>
    <w:rsid w:val="000E0F17"/>
    <w:rsid w:val="000F6F21"/>
    <w:rsid w:val="000F7C49"/>
    <w:rsid w:val="001120AA"/>
    <w:rsid w:val="00123FAA"/>
    <w:rsid w:val="001347ED"/>
    <w:rsid w:val="00152EBC"/>
    <w:rsid w:val="001701BE"/>
    <w:rsid w:val="001739AC"/>
    <w:rsid w:val="00185B67"/>
    <w:rsid w:val="00190E45"/>
    <w:rsid w:val="001A42C6"/>
    <w:rsid w:val="001A7FC1"/>
    <w:rsid w:val="001B2578"/>
    <w:rsid w:val="001D0A36"/>
    <w:rsid w:val="001D50C1"/>
    <w:rsid w:val="001D7403"/>
    <w:rsid w:val="001E4125"/>
    <w:rsid w:val="001E6A38"/>
    <w:rsid w:val="001F4D36"/>
    <w:rsid w:val="00202B12"/>
    <w:rsid w:val="0021367A"/>
    <w:rsid w:val="0021655F"/>
    <w:rsid w:val="00220EF8"/>
    <w:rsid w:val="00246978"/>
    <w:rsid w:val="0025501C"/>
    <w:rsid w:val="00277C77"/>
    <w:rsid w:val="00277EC5"/>
    <w:rsid w:val="00280DC0"/>
    <w:rsid w:val="00290861"/>
    <w:rsid w:val="002A6685"/>
    <w:rsid w:val="002A7DD8"/>
    <w:rsid w:val="002B3DE4"/>
    <w:rsid w:val="002C2847"/>
    <w:rsid w:val="002D62BE"/>
    <w:rsid w:val="002E32C1"/>
    <w:rsid w:val="002F2DFF"/>
    <w:rsid w:val="002F4515"/>
    <w:rsid w:val="002F526D"/>
    <w:rsid w:val="002F551F"/>
    <w:rsid w:val="003018D4"/>
    <w:rsid w:val="0032243B"/>
    <w:rsid w:val="003546C0"/>
    <w:rsid w:val="0038637C"/>
    <w:rsid w:val="00391590"/>
    <w:rsid w:val="003A7D57"/>
    <w:rsid w:val="003B3B53"/>
    <w:rsid w:val="003B54ED"/>
    <w:rsid w:val="003E4D6D"/>
    <w:rsid w:val="0041343C"/>
    <w:rsid w:val="00414D9D"/>
    <w:rsid w:val="00415761"/>
    <w:rsid w:val="004163A2"/>
    <w:rsid w:val="004167A8"/>
    <w:rsid w:val="004372F3"/>
    <w:rsid w:val="0044550A"/>
    <w:rsid w:val="00462F3F"/>
    <w:rsid w:val="004712D1"/>
    <w:rsid w:val="00471D26"/>
    <w:rsid w:val="00481044"/>
    <w:rsid w:val="00481E2F"/>
    <w:rsid w:val="00496377"/>
    <w:rsid w:val="004A1019"/>
    <w:rsid w:val="004A2118"/>
    <w:rsid w:val="004C218B"/>
    <w:rsid w:val="004C5E3A"/>
    <w:rsid w:val="004D26FF"/>
    <w:rsid w:val="004D4B51"/>
    <w:rsid w:val="004D705C"/>
    <w:rsid w:val="004E3937"/>
    <w:rsid w:val="004E7FBD"/>
    <w:rsid w:val="004F1C3B"/>
    <w:rsid w:val="00500B49"/>
    <w:rsid w:val="00512E43"/>
    <w:rsid w:val="005259D3"/>
    <w:rsid w:val="00556358"/>
    <w:rsid w:val="00562447"/>
    <w:rsid w:val="0056689A"/>
    <w:rsid w:val="005806E6"/>
    <w:rsid w:val="0058296B"/>
    <w:rsid w:val="005A349B"/>
    <w:rsid w:val="005B367A"/>
    <w:rsid w:val="005C0382"/>
    <w:rsid w:val="005D4587"/>
    <w:rsid w:val="005F5B2B"/>
    <w:rsid w:val="00606549"/>
    <w:rsid w:val="00612DC0"/>
    <w:rsid w:val="00637C38"/>
    <w:rsid w:val="00641A8F"/>
    <w:rsid w:val="00643F83"/>
    <w:rsid w:val="00644A12"/>
    <w:rsid w:val="0065528E"/>
    <w:rsid w:val="00661664"/>
    <w:rsid w:val="00663F3A"/>
    <w:rsid w:val="006B11DE"/>
    <w:rsid w:val="006D37A3"/>
    <w:rsid w:val="006D6220"/>
    <w:rsid w:val="006E1AFE"/>
    <w:rsid w:val="006E6744"/>
    <w:rsid w:val="006F0348"/>
    <w:rsid w:val="006F54FF"/>
    <w:rsid w:val="00700A13"/>
    <w:rsid w:val="00716186"/>
    <w:rsid w:val="0072128C"/>
    <w:rsid w:val="00732074"/>
    <w:rsid w:val="00743793"/>
    <w:rsid w:val="00764FA3"/>
    <w:rsid w:val="00774BC8"/>
    <w:rsid w:val="00775114"/>
    <w:rsid w:val="00775D1E"/>
    <w:rsid w:val="00776608"/>
    <w:rsid w:val="007B42A6"/>
    <w:rsid w:val="007B7F72"/>
    <w:rsid w:val="007D07AF"/>
    <w:rsid w:val="007D0FBC"/>
    <w:rsid w:val="007D732B"/>
    <w:rsid w:val="007E3B37"/>
    <w:rsid w:val="007E7E27"/>
    <w:rsid w:val="007F1CA0"/>
    <w:rsid w:val="00806D24"/>
    <w:rsid w:val="00815FDC"/>
    <w:rsid w:val="008239C7"/>
    <w:rsid w:val="00824C5A"/>
    <w:rsid w:val="00835E46"/>
    <w:rsid w:val="008405AD"/>
    <w:rsid w:val="00845EDD"/>
    <w:rsid w:val="00851EB7"/>
    <w:rsid w:val="00861BD5"/>
    <w:rsid w:val="00862AED"/>
    <w:rsid w:val="00882EEB"/>
    <w:rsid w:val="008878A7"/>
    <w:rsid w:val="008A375C"/>
    <w:rsid w:val="008A3789"/>
    <w:rsid w:val="008B659D"/>
    <w:rsid w:val="008D3A72"/>
    <w:rsid w:val="008D49CA"/>
    <w:rsid w:val="008E09B4"/>
    <w:rsid w:val="008E4249"/>
    <w:rsid w:val="008E7127"/>
    <w:rsid w:val="008E76E1"/>
    <w:rsid w:val="008F0289"/>
    <w:rsid w:val="008F0A4A"/>
    <w:rsid w:val="008F1A3D"/>
    <w:rsid w:val="00925153"/>
    <w:rsid w:val="00927787"/>
    <w:rsid w:val="00930CB8"/>
    <w:rsid w:val="0094592A"/>
    <w:rsid w:val="00950DE0"/>
    <w:rsid w:val="009520BC"/>
    <w:rsid w:val="00965C81"/>
    <w:rsid w:val="00975AA2"/>
    <w:rsid w:val="00984411"/>
    <w:rsid w:val="009A00E7"/>
    <w:rsid w:val="009A5329"/>
    <w:rsid w:val="009A59B1"/>
    <w:rsid w:val="009B6922"/>
    <w:rsid w:val="009C017C"/>
    <w:rsid w:val="009C3B8D"/>
    <w:rsid w:val="009D4216"/>
    <w:rsid w:val="009E79A9"/>
    <w:rsid w:val="009F2BB9"/>
    <w:rsid w:val="009F5781"/>
    <w:rsid w:val="00A07E6B"/>
    <w:rsid w:val="00A13796"/>
    <w:rsid w:val="00A22E08"/>
    <w:rsid w:val="00A26FF6"/>
    <w:rsid w:val="00A32FDD"/>
    <w:rsid w:val="00A368E8"/>
    <w:rsid w:val="00A5225D"/>
    <w:rsid w:val="00A53A83"/>
    <w:rsid w:val="00A54275"/>
    <w:rsid w:val="00A56862"/>
    <w:rsid w:val="00A616FB"/>
    <w:rsid w:val="00A61D96"/>
    <w:rsid w:val="00A65481"/>
    <w:rsid w:val="00A67F49"/>
    <w:rsid w:val="00A87DB4"/>
    <w:rsid w:val="00AA52CD"/>
    <w:rsid w:val="00AD3687"/>
    <w:rsid w:val="00AD4851"/>
    <w:rsid w:val="00AF03DF"/>
    <w:rsid w:val="00AF2F15"/>
    <w:rsid w:val="00B10780"/>
    <w:rsid w:val="00B407A1"/>
    <w:rsid w:val="00B423D4"/>
    <w:rsid w:val="00B60363"/>
    <w:rsid w:val="00B75F1E"/>
    <w:rsid w:val="00B76ECA"/>
    <w:rsid w:val="00B8159D"/>
    <w:rsid w:val="00B858DB"/>
    <w:rsid w:val="00B9087F"/>
    <w:rsid w:val="00BA40CC"/>
    <w:rsid w:val="00BB1F17"/>
    <w:rsid w:val="00BB30B9"/>
    <w:rsid w:val="00BB4D01"/>
    <w:rsid w:val="00BC1ACC"/>
    <w:rsid w:val="00BC6D73"/>
    <w:rsid w:val="00BD7E01"/>
    <w:rsid w:val="00BE37D6"/>
    <w:rsid w:val="00BF7B1F"/>
    <w:rsid w:val="00C03431"/>
    <w:rsid w:val="00C23A5A"/>
    <w:rsid w:val="00C42798"/>
    <w:rsid w:val="00C4601B"/>
    <w:rsid w:val="00C47CD1"/>
    <w:rsid w:val="00C5225D"/>
    <w:rsid w:val="00C74C1E"/>
    <w:rsid w:val="00C82BCD"/>
    <w:rsid w:val="00C92A98"/>
    <w:rsid w:val="00C971AA"/>
    <w:rsid w:val="00CA442D"/>
    <w:rsid w:val="00CA71FA"/>
    <w:rsid w:val="00CB0323"/>
    <w:rsid w:val="00CB2103"/>
    <w:rsid w:val="00CB211A"/>
    <w:rsid w:val="00CC6A32"/>
    <w:rsid w:val="00CE2376"/>
    <w:rsid w:val="00CF531C"/>
    <w:rsid w:val="00CF71D7"/>
    <w:rsid w:val="00D044B4"/>
    <w:rsid w:val="00D16529"/>
    <w:rsid w:val="00D20A9E"/>
    <w:rsid w:val="00D214D4"/>
    <w:rsid w:val="00D22863"/>
    <w:rsid w:val="00D30A0E"/>
    <w:rsid w:val="00D32580"/>
    <w:rsid w:val="00D54A2F"/>
    <w:rsid w:val="00D60652"/>
    <w:rsid w:val="00D64DC5"/>
    <w:rsid w:val="00D764DA"/>
    <w:rsid w:val="00D94E38"/>
    <w:rsid w:val="00DA79F1"/>
    <w:rsid w:val="00DC2AD0"/>
    <w:rsid w:val="00DD2437"/>
    <w:rsid w:val="00DD762D"/>
    <w:rsid w:val="00DF6839"/>
    <w:rsid w:val="00DF6A12"/>
    <w:rsid w:val="00E17CC4"/>
    <w:rsid w:val="00E27069"/>
    <w:rsid w:val="00E30399"/>
    <w:rsid w:val="00E32C8E"/>
    <w:rsid w:val="00E37B88"/>
    <w:rsid w:val="00E41200"/>
    <w:rsid w:val="00E501DF"/>
    <w:rsid w:val="00E547AF"/>
    <w:rsid w:val="00E573EC"/>
    <w:rsid w:val="00E57E45"/>
    <w:rsid w:val="00E76B05"/>
    <w:rsid w:val="00E8217D"/>
    <w:rsid w:val="00E976AA"/>
    <w:rsid w:val="00EB010B"/>
    <w:rsid w:val="00EB7EC5"/>
    <w:rsid w:val="00EC20EF"/>
    <w:rsid w:val="00ED1571"/>
    <w:rsid w:val="00ED37E3"/>
    <w:rsid w:val="00EE1ED5"/>
    <w:rsid w:val="00EE5738"/>
    <w:rsid w:val="00F0156E"/>
    <w:rsid w:val="00F14634"/>
    <w:rsid w:val="00F26A28"/>
    <w:rsid w:val="00F314BA"/>
    <w:rsid w:val="00F463D5"/>
    <w:rsid w:val="00F67AC3"/>
    <w:rsid w:val="00F74631"/>
    <w:rsid w:val="00F74DEF"/>
    <w:rsid w:val="00F76488"/>
    <w:rsid w:val="00F820E5"/>
    <w:rsid w:val="00F825F7"/>
    <w:rsid w:val="00F9202B"/>
    <w:rsid w:val="00F94B71"/>
    <w:rsid w:val="00FA3EAA"/>
    <w:rsid w:val="00FB7099"/>
    <w:rsid w:val="00FD20A1"/>
    <w:rsid w:val="00FD36E6"/>
    <w:rsid w:val="00FD5E2D"/>
    <w:rsid w:val="00FE3390"/>
    <w:rsid w:val="00FF66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D0FB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dden">
    <w:name w:val="hidden"/>
    <w:basedOn w:val="DefaultParagraphFont"/>
    <w:uiPriority w:val="99"/>
    <w:rsid w:val="008A3789"/>
    <w:rPr>
      <w:rFonts w:cs="Times New Roman"/>
    </w:rPr>
  </w:style>
  <w:style w:type="paragraph" w:styleId="BodyText">
    <w:name w:val="Body Text"/>
    <w:basedOn w:val="Normal"/>
    <w:link w:val="BodyTextChar"/>
    <w:uiPriority w:val="99"/>
    <w:rsid w:val="00DF6A12"/>
    <w:pPr>
      <w:spacing w:after="0" w:line="240" w:lineRule="auto"/>
    </w:pPr>
    <w:rPr>
      <w:rFonts w:ascii="Times" w:eastAsia="Times New Roman" w:hAnsi="Times"/>
      <w:i/>
      <w:sz w:val="24"/>
      <w:szCs w:val="20"/>
    </w:rPr>
  </w:style>
  <w:style w:type="character" w:customStyle="1" w:styleId="BodyTextChar">
    <w:name w:val="Body Text Char"/>
    <w:basedOn w:val="DefaultParagraphFont"/>
    <w:link w:val="BodyText"/>
    <w:uiPriority w:val="99"/>
    <w:semiHidden/>
    <w:locked/>
    <w:rPr>
      <w:rFonts w:cs="Times New Roman"/>
    </w:rPr>
  </w:style>
  <w:style w:type="paragraph" w:customStyle="1" w:styleId="ColorfulList-Accent11">
    <w:name w:val="Colorful List - Accent 11"/>
    <w:basedOn w:val="Normal"/>
    <w:uiPriority w:val="99"/>
    <w:rsid w:val="001701BE"/>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333414023">
      <w:marLeft w:val="0"/>
      <w:marRight w:val="0"/>
      <w:marTop w:val="0"/>
      <w:marBottom w:val="0"/>
      <w:divBdr>
        <w:top w:val="none" w:sz="0" w:space="0" w:color="auto"/>
        <w:left w:val="none" w:sz="0" w:space="0" w:color="auto"/>
        <w:bottom w:val="none" w:sz="0" w:space="0" w:color="auto"/>
        <w:right w:val="none" w:sz="0" w:space="0" w:color="auto"/>
      </w:divBdr>
      <w:divsChild>
        <w:div w:id="1333414024">
          <w:marLeft w:val="0"/>
          <w:marRight w:val="0"/>
          <w:marTop w:val="0"/>
          <w:marBottom w:val="0"/>
          <w:divBdr>
            <w:top w:val="none" w:sz="0" w:space="0" w:color="auto"/>
            <w:left w:val="none" w:sz="0" w:space="0" w:color="auto"/>
            <w:bottom w:val="none" w:sz="0" w:space="0" w:color="auto"/>
            <w:right w:val="none" w:sz="0" w:space="0" w:color="auto"/>
          </w:divBdr>
          <w:divsChild>
            <w:div w:id="1333414022">
              <w:marLeft w:val="0"/>
              <w:marRight w:val="0"/>
              <w:marTop w:val="0"/>
              <w:marBottom w:val="0"/>
              <w:divBdr>
                <w:top w:val="none" w:sz="0" w:space="0" w:color="auto"/>
                <w:left w:val="none" w:sz="0" w:space="0" w:color="auto"/>
                <w:bottom w:val="none" w:sz="0" w:space="0" w:color="auto"/>
                <w:right w:val="none" w:sz="0" w:space="0" w:color="auto"/>
              </w:divBdr>
            </w:div>
          </w:divsChild>
        </w:div>
        <w:div w:id="13334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8</Pages>
  <Words>3132</Words>
  <Characters>17853</Characters>
  <Application>Microsoft Office Outlook</Application>
  <DocSecurity>0</DocSecurity>
  <Lines>0</Lines>
  <Paragraphs>0</Paragraphs>
  <ScaleCrop>false</ScaleCrop>
  <Company>UMB, Dental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Craniofacial Primary Afferent Neuronal Response Properties to Physiologically Relevant Stimuli and (morphology, neurochemistry)</dc:title>
  <dc:subject/>
  <dc:creator>Dessem, Dean A.</dc:creator>
  <cp:keywords/>
  <dc:description/>
  <cp:lastModifiedBy>MNK</cp:lastModifiedBy>
  <cp:revision>6</cp:revision>
  <cp:lastPrinted>2010-09-29T13:53:00Z</cp:lastPrinted>
  <dcterms:created xsi:type="dcterms:W3CDTF">2010-10-19T16:03:00Z</dcterms:created>
  <dcterms:modified xsi:type="dcterms:W3CDTF">2010-10-19T16:47:00Z</dcterms:modified>
</cp:coreProperties>
</file>