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1DC3" w14:textId="67BA36A5" w:rsidR="005A7BBA" w:rsidRPr="00150396" w:rsidRDefault="00031083" w:rsidP="00E86D3B">
      <w:pPr>
        <w:widowControl w:val="0"/>
        <w:spacing w:line="240" w:lineRule="auto"/>
        <w:outlineLvl w:val="0"/>
        <w:rPr>
          <w:rFonts w:eastAsia="Calibri"/>
          <w:i/>
          <w:color w:val="FF0000"/>
        </w:rPr>
      </w:pPr>
      <w:proofErr w:type="spellStart"/>
      <w:r w:rsidRPr="00150396">
        <w:rPr>
          <w:rFonts w:eastAsia="Calibri"/>
          <w:b/>
        </w:rPr>
        <w:t>SciEd</w:t>
      </w:r>
      <w:proofErr w:type="spellEnd"/>
      <w:r w:rsidRPr="00150396">
        <w:rPr>
          <w:rFonts w:eastAsia="Calibri"/>
          <w:b/>
        </w:rPr>
        <w:t>:</w:t>
      </w:r>
      <w:r w:rsidRPr="00150396">
        <w:rPr>
          <w:rFonts w:eastAsia="Calibri"/>
          <w:b/>
          <w:i/>
        </w:rPr>
        <w:t xml:space="preserve"> </w:t>
      </w:r>
      <w:r w:rsidR="004329D6">
        <w:rPr>
          <w:rFonts w:eastAsia="Calibri"/>
          <w:b/>
        </w:rPr>
        <w:t>Library of Experiments</w:t>
      </w:r>
    </w:p>
    <w:p w14:paraId="6634A86A" w14:textId="7BFFFFD7" w:rsidR="005A7BBA" w:rsidRPr="00150396" w:rsidRDefault="00031083" w:rsidP="00E86D3B">
      <w:pPr>
        <w:widowControl w:val="0"/>
        <w:spacing w:line="240" w:lineRule="auto"/>
        <w:outlineLvl w:val="0"/>
        <w:rPr>
          <w:rFonts w:eastAsia="Calibri"/>
          <w:i/>
        </w:rPr>
      </w:pPr>
      <w:r w:rsidRPr="00150396">
        <w:rPr>
          <w:rFonts w:eastAsia="Calibri"/>
          <w:b/>
        </w:rPr>
        <w:t xml:space="preserve">Project ID: </w:t>
      </w:r>
      <w:r w:rsidR="001B68CE">
        <w:rPr>
          <w:rFonts w:eastAsia="Calibri"/>
        </w:rPr>
        <w:t>20024</w:t>
      </w:r>
    </w:p>
    <w:p w14:paraId="0D2DDDE7" w14:textId="7BE96424" w:rsidR="005A7BBA" w:rsidRPr="00150396" w:rsidRDefault="001B68CE" w:rsidP="00E86D3B">
      <w:pPr>
        <w:widowControl w:val="0"/>
        <w:spacing w:line="240" w:lineRule="auto"/>
        <w:outlineLvl w:val="0"/>
        <w:rPr>
          <w:rFonts w:eastAsia="Calibri"/>
        </w:rPr>
      </w:pPr>
      <w:r>
        <w:rPr>
          <w:rFonts w:eastAsia="Calibri"/>
          <w:b/>
        </w:rPr>
        <w:t>Project Name</w:t>
      </w:r>
      <w:r w:rsidR="00031083" w:rsidRPr="00150396">
        <w:rPr>
          <w:rFonts w:eastAsia="Calibri"/>
          <w:b/>
        </w:rPr>
        <w:t xml:space="preserve">: </w:t>
      </w:r>
      <w:r w:rsidR="004329D6">
        <w:rPr>
          <w:rFonts w:eastAsia="Calibri"/>
        </w:rPr>
        <w:t>Functional Virus Titration</w:t>
      </w:r>
    </w:p>
    <w:p w14:paraId="33A68FE8" w14:textId="2D3815F8" w:rsidR="005A7BBA" w:rsidRPr="00150396" w:rsidRDefault="00031083" w:rsidP="00E86D3B">
      <w:pPr>
        <w:widowControl w:val="0"/>
        <w:spacing w:line="240" w:lineRule="auto"/>
        <w:outlineLvl w:val="0"/>
        <w:rPr>
          <w:rFonts w:eastAsia="Calibri"/>
        </w:rPr>
      </w:pPr>
      <w:r w:rsidRPr="00150396">
        <w:rPr>
          <w:rFonts w:eastAsia="Calibri"/>
          <w:b/>
        </w:rPr>
        <w:t xml:space="preserve">Scriptwriter: </w:t>
      </w:r>
      <w:r w:rsidR="00E86D3B" w:rsidRPr="00150396">
        <w:rPr>
          <w:rFonts w:eastAsia="Calibri"/>
        </w:rPr>
        <w:t>Rebecca Windmueller</w:t>
      </w:r>
    </w:p>
    <w:p w14:paraId="17EB7879" w14:textId="77777777" w:rsidR="005A7BBA" w:rsidRPr="00150396" w:rsidRDefault="005A7BBA">
      <w:pPr>
        <w:widowControl w:val="0"/>
        <w:spacing w:line="240" w:lineRule="auto"/>
        <w:rPr>
          <w:rFonts w:eastAsia="Calibri"/>
        </w:rPr>
      </w:pPr>
    </w:p>
    <w:tbl>
      <w:tblPr>
        <w:tblStyle w:val="a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8292"/>
      </w:tblGrid>
      <w:tr w:rsidR="005A7BBA" w:rsidRPr="00150396" w14:paraId="30904B30" w14:textId="77777777" w:rsidTr="006744A6">
        <w:trPr>
          <w:trHeight w:val="440"/>
        </w:trPr>
        <w:tc>
          <w:tcPr>
            <w:tcW w:w="9570" w:type="dxa"/>
            <w:gridSpan w:val="2"/>
          </w:tcPr>
          <w:p w14:paraId="3F796E7B" w14:textId="56EEAD25" w:rsidR="005A7BBA" w:rsidRPr="00150396" w:rsidRDefault="00031083" w:rsidP="00E86D3B">
            <w:pPr>
              <w:widowControl w:val="0"/>
              <w:rPr>
                <w:rFonts w:eastAsia="Calibri"/>
                <w:i/>
              </w:rPr>
            </w:pPr>
            <w:r w:rsidRPr="00150396">
              <w:rPr>
                <w:rFonts w:eastAsia="Calibri"/>
                <w:b/>
              </w:rPr>
              <w:t xml:space="preserve">Protocol Project ID#: </w:t>
            </w:r>
            <w:r w:rsidR="001B68CE">
              <w:rPr>
                <w:rFonts w:eastAsia="Calibri"/>
              </w:rPr>
              <w:t>57033</w:t>
            </w:r>
          </w:p>
        </w:tc>
      </w:tr>
      <w:tr w:rsidR="005A7BBA" w:rsidRPr="00150396" w14:paraId="77AA167B" w14:textId="77777777" w:rsidTr="006744A6">
        <w:tc>
          <w:tcPr>
            <w:tcW w:w="1278" w:type="dxa"/>
          </w:tcPr>
          <w:p w14:paraId="2AA1367F" w14:textId="77777777" w:rsidR="005A7BBA" w:rsidRPr="00150396" w:rsidRDefault="00031083">
            <w:pPr>
              <w:widowControl w:val="0"/>
              <w:rPr>
                <w:rFonts w:eastAsia="Calibri"/>
                <w:b/>
              </w:rPr>
            </w:pPr>
            <w:r w:rsidRPr="00150396">
              <w:rPr>
                <w:rFonts w:eastAsia="Calibri"/>
                <w:b/>
              </w:rPr>
              <w:t>Asset</w:t>
            </w:r>
          </w:p>
        </w:tc>
        <w:tc>
          <w:tcPr>
            <w:tcW w:w="8292" w:type="dxa"/>
          </w:tcPr>
          <w:p w14:paraId="05B4799C" w14:textId="77777777" w:rsidR="005A7BBA" w:rsidRPr="00150396" w:rsidRDefault="00031083">
            <w:pPr>
              <w:widowControl w:val="0"/>
              <w:rPr>
                <w:rFonts w:eastAsia="Calibri"/>
                <w:b/>
              </w:rPr>
            </w:pPr>
            <w:r w:rsidRPr="00150396">
              <w:rPr>
                <w:rFonts w:eastAsia="Calibri"/>
                <w:b/>
              </w:rPr>
              <w:t>Timecode</w:t>
            </w:r>
          </w:p>
        </w:tc>
      </w:tr>
      <w:tr w:rsidR="005A7BBA" w:rsidRPr="00150396" w14:paraId="2106DD70" w14:textId="77777777" w:rsidTr="006744A6">
        <w:trPr>
          <w:trHeight w:val="530"/>
        </w:trPr>
        <w:tc>
          <w:tcPr>
            <w:tcW w:w="1278" w:type="dxa"/>
          </w:tcPr>
          <w:p w14:paraId="532D7175" w14:textId="77777777" w:rsidR="005A7BBA" w:rsidRPr="00150396" w:rsidRDefault="00031083">
            <w:pPr>
              <w:widowControl w:val="0"/>
              <w:rPr>
                <w:rFonts w:eastAsia="Calibri"/>
              </w:rPr>
            </w:pPr>
            <w:r w:rsidRPr="00150396">
              <w:rPr>
                <w:rFonts w:eastAsia="Calibri"/>
              </w:rPr>
              <w:t>Clip</w:t>
            </w:r>
          </w:p>
        </w:tc>
        <w:tc>
          <w:tcPr>
            <w:tcW w:w="8292" w:type="dxa"/>
          </w:tcPr>
          <w:p w14:paraId="11666A40" w14:textId="74C75E49" w:rsidR="005A7BBA" w:rsidRPr="00150396" w:rsidRDefault="00E86D3B" w:rsidP="00E86D3B">
            <w:pPr>
              <w:widowControl w:val="0"/>
              <w:rPr>
                <w:rFonts w:eastAsia="Calibri"/>
                <w:i/>
              </w:rPr>
            </w:pPr>
            <w:r w:rsidRPr="00150396">
              <w:rPr>
                <w:rFonts w:eastAsia="Calibri"/>
                <w:b/>
              </w:rPr>
              <w:t>3:32</w:t>
            </w:r>
            <w:r w:rsidR="00031083" w:rsidRPr="00150396">
              <w:rPr>
                <w:rFonts w:eastAsia="Calibri"/>
              </w:rPr>
              <w:t xml:space="preserve"> </w:t>
            </w:r>
            <w:r w:rsidR="00031083" w:rsidRPr="006744A6">
              <w:rPr>
                <w:rFonts w:eastAsia="Calibri"/>
                <w:i/>
              </w:rPr>
              <w:t>(VO: “</w:t>
            </w:r>
            <w:r w:rsidRPr="006744A6">
              <w:rPr>
                <w:rFonts w:eastAsia="Calibri"/>
                <w:i/>
              </w:rPr>
              <w:t>In each well of a 6-well plate</w:t>
            </w:r>
            <w:r w:rsidR="00031083" w:rsidRPr="006744A6">
              <w:rPr>
                <w:rFonts w:eastAsia="Calibri"/>
                <w:i/>
              </w:rPr>
              <w:t>...”)</w:t>
            </w:r>
            <w:r w:rsidR="00031083" w:rsidRPr="00150396">
              <w:rPr>
                <w:rFonts w:eastAsia="Calibri"/>
              </w:rPr>
              <w:t xml:space="preserve"> </w:t>
            </w:r>
            <w:r w:rsidR="00A54301" w:rsidRPr="00150396">
              <w:rPr>
                <w:rFonts w:eastAsia="Calibri"/>
              </w:rPr>
              <w:t>–</w:t>
            </w:r>
            <w:r w:rsidR="00031083" w:rsidRPr="00150396">
              <w:rPr>
                <w:rFonts w:eastAsia="Calibri"/>
              </w:rPr>
              <w:t xml:space="preserve"> </w:t>
            </w:r>
            <w:r w:rsidR="00A54301" w:rsidRPr="00150396">
              <w:rPr>
                <w:rFonts w:eastAsia="Calibri"/>
                <w:b/>
              </w:rPr>
              <w:t>5:</w:t>
            </w:r>
            <w:r w:rsidRPr="00150396">
              <w:rPr>
                <w:rFonts w:eastAsia="Calibri"/>
                <w:b/>
              </w:rPr>
              <w:t>02</w:t>
            </w:r>
            <w:r w:rsidR="00031083" w:rsidRPr="00150396">
              <w:rPr>
                <w:rFonts w:eastAsia="Calibri"/>
              </w:rPr>
              <w:t xml:space="preserve"> </w:t>
            </w:r>
            <w:r w:rsidR="00031083" w:rsidRPr="006744A6">
              <w:rPr>
                <w:rFonts w:eastAsia="Calibri"/>
                <w:i/>
              </w:rPr>
              <w:t>(VO:</w:t>
            </w:r>
            <w:r w:rsidRPr="006744A6">
              <w:rPr>
                <w:rFonts w:eastAsia="Calibri"/>
                <w:i/>
              </w:rPr>
              <w:t xml:space="preserve"> </w:t>
            </w:r>
            <w:proofErr w:type="gramStart"/>
            <w:r w:rsidRPr="006744A6">
              <w:rPr>
                <w:rFonts w:eastAsia="Calibri"/>
                <w:i/>
              </w:rPr>
              <w:t>“</w:t>
            </w:r>
            <w:r w:rsidR="00031083" w:rsidRPr="006744A6">
              <w:rPr>
                <w:rFonts w:eastAsia="Calibri"/>
                <w:i/>
              </w:rPr>
              <w:t xml:space="preserve"> </w:t>
            </w:r>
            <w:r w:rsidRPr="006744A6">
              <w:rPr>
                <w:rFonts w:eastAsia="Calibri"/>
                <w:i/>
              </w:rPr>
              <w:t>…</w:t>
            </w:r>
            <w:proofErr w:type="gramEnd"/>
            <w:r w:rsidRPr="006744A6">
              <w:rPr>
                <w:rFonts w:eastAsia="Calibri"/>
                <w:i/>
              </w:rPr>
              <w:t>present in each well under a microscope</w:t>
            </w:r>
            <w:r w:rsidR="00031083" w:rsidRPr="006744A6">
              <w:rPr>
                <w:rFonts w:eastAsia="Calibri"/>
                <w:i/>
              </w:rPr>
              <w:t>.”)</w:t>
            </w:r>
          </w:p>
        </w:tc>
      </w:tr>
      <w:tr w:rsidR="005A7BBA" w:rsidRPr="00150396" w14:paraId="20086874" w14:textId="77777777" w:rsidTr="006744A6">
        <w:tc>
          <w:tcPr>
            <w:tcW w:w="1278" w:type="dxa"/>
          </w:tcPr>
          <w:p w14:paraId="1F69D068" w14:textId="77777777" w:rsidR="005A7BBA" w:rsidRPr="00150396" w:rsidRDefault="005A7BBA">
            <w:pPr>
              <w:widowControl w:val="0"/>
              <w:rPr>
                <w:rFonts w:eastAsia="Calibri"/>
              </w:rPr>
            </w:pPr>
          </w:p>
        </w:tc>
        <w:tc>
          <w:tcPr>
            <w:tcW w:w="8292" w:type="dxa"/>
          </w:tcPr>
          <w:p w14:paraId="396CDA88" w14:textId="77777777" w:rsidR="005A7BBA" w:rsidRPr="00150396" w:rsidRDefault="005A7BBA">
            <w:pPr>
              <w:widowControl w:val="0"/>
              <w:rPr>
                <w:rFonts w:eastAsia="Calibri"/>
              </w:rPr>
            </w:pPr>
          </w:p>
        </w:tc>
      </w:tr>
    </w:tbl>
    <w:p w14:paraId="63C6F77C" w14:textId="77777777" w:rsidR="00877B06" w:rsidRPr="00150396" w:rsidRDefault="00877B06" w:rsidP="00877B06">
      <w:pPr>
        <w:pStyle w:val="ListParagraph"/>
        <w:ind w:left="216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</w:p>
    <w:p w14:paraId="33101FCE" w14:textId="2AC2D8CB" w:rsidR="00877B06" w:rsidRPr="00150396" w:rsidRDefault="006744A6" w:rsidP="00877B06">
      <w:pPr>
        <w:pStyle w:val="ListParagraph"/>
        <w:numPr>
          <w:ilvl w:val="0"/>
          <w:numId w:val="1"/>
        </w:numPr>
        <w:ind w:left="216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TEXT: “</w:t>
      </w:r>
      <w:r w:rsidR="00E86D3B" w:rsidRPr="00150396">
        <w:rPr>
          <w:rFonts w:ascii="Arial" w:hAnsi="Arial" w:cs="Arial"/>
          <w:sz w:val="22"/>
          <w:szCs w:val="22"/>
        </w:rPr>
        <w:t xml:space="preserve">Titrating a Virus Expressing a Selectable Marker: </w:t>
      </w:r>
      <w:r>
        <w:rPr>
          <w:rFonts w:ascii="Arial" w:hAnsi="Arial" w:cs="Arial"/>
          <w:sz w:val="22"/>
          <w:szCs w:val="22"/>
        </w:rPr>
        <w:t>A</w:t>
      </w:r>
      <w:r w:rsidR="00E86D3B" w:rsidRPr="001503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E86D3B" w:rsidRPr="00150396">
        <w:rPr>
          <w:rFonts w:ascii="Arial" w:hAnsi="Arial" w:cs="Arial"/>
          <w:sz w:val="22"/>
          <w:szCs w:val="22"/>
        </w:rPr>
        <w:t>ethod to</w:t>
      </w:r>
      <w:r w:rsidR="004E232C">
        <w:rPr>
          <w:rFonts w:ascii="Arial" w:hAnsi="Arial" w:cs="Arial"/>
          <w:sz w:val="22"/>
          <w:szCs w:val="22"/>
        </w:rPr>
        <w:t xml:space="preserve"> Quantify Transducing Units (TU)</w:t>
      </w:r>
      <w:r>
        <w:rPr>
          <w:rFonts w:ascii="Arial" w:hAnsi="Arial" w:cs="Arial"/>
          <w:sz w:val="22"/>
          <w:szCs w:val="22"/>
        </w:rPr>
        <w:t>”</w:t>
      </w:r>
    </w:p>
    <w:p w14:paraId="160599A0" w14:textId="77777777" w:rsidR="00877B06" w:rsidRPr="00150396" w:rsidRDefault="00877B06" w:rsidP="00877B06">
      <w:pPr>
        <w:pStyle w:val="ListParagraph"/>
        <w:ind w:left="216"/>
        <w:rPr>
          <w:rFonts w:ascii="Arial" w:eastAsia="Arial" w:hAnsi="Arial" w:cs="Arial"/>
          <w:sz w:val="22"/>
          <w:szCs w:val="22"/>
        </w:rPr>
      </w:pPr>
    </w:p>
    <w:p w14:paraId="461D2BCA" w14:textId="30D03B40" w:rsidR="00877B06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t xml:space="preserve">To titrate </w:t>
      </w:r>
      <w:r w:rsidR="004E232C" w:rsidRPr="004E232C">
        <w:rPr>
          <w:b/>
        </w:rPr>
        <w:t>[</w:t>
      </w:r>
      <w:hyperlink r:id="rId5" w:history="1">
        <w:r w:rsidR="004E232C" w:rsidRPr="004E232C">
          <w:rPr>
            <w:rStyle w:val="Hyperlink"/>
            <w:b/>
          </w:rPr>
          <w:t>pronu</w:t>
        </w:r>
        <w:r w:rsidR="004E232C" w:rsidRPr="004E232C">
          <w:rPr>
            <w:rStyle w:val="Hyperlink"/>
            <w:b/>
          </w:rPr>
          <w:t>n</w:t>
        </w:r>
        <w:r w:rsidR="004E232C" w:rsidRPr="004E232C">
          <w:rPr>
            <w:rStyle w:val="Hyperlink"/>
            <w:b/>
          </w:rPr>
          <w:t>ciation</w:t>
        </w:r>
      </w:hyperlink>
      <w:r w:rsidR="004E232C" w:rsidRPr="004E232C">
        <w:rPr>
          <w:b/>
        </w:rPr>
        <w:t>]</w:t>
      </w:r>
      <w:r w:rsidR="004E232C">
        <w:t xml:space="preserve"> </w:t>
      </w:r>
      <w:r w:rsidRPr="00150396">
        <w:t>a virus, first prepare a serial dilution of the virus stock</w:t>
      </w:r>
      <w:bookmarkStart w:id="1" w:name="_sgso9ltkwd3l" w:colFirst="0" w:colLast="0"/>
      <w:bookmarkEnd w:id="1"/>
      <w:r w:rsidR="0044302A">
        <w:t>. Then transfer one milliliter</w:t>
      </w:r>
      <w:r w:rsidR="00DF53ED">
        <w:t xml:space="preserve"> of each dilution</w:t>
      </w:r>
      <w:r w:rsidRPr="00150396">
        <w:t xml:space="preserve"> </w:t>
      </w:r>
      <w:r w:rsidR="0044302A">
        <w:t xml:space="preserve">to a well seeded with a target cell line. </w:t>
      </w:r>
    </w:p>
    <w:p w14:paraId="0CA99E63" w14:textId="30B489F8" w:rsidR="00877B06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rPr>
          <w:rFonts w:eastAsia="Cambria"/>
          <w:color w:val="000000"/>
        </w:rPr>
        <w:t>The virus particles that infect the target cell line can be quantified to determine the functional titer</w:t>
      </w:r>
      <w:r w:rsidR="004E232C">
        <w:rPr>
          <w:rFonts w:eastAsia="Cambria"/>
          <w:color w:val="000000"/>
        </w:rPr>
        <w:t xml:space="preserve"> </w:t>
      </w:r>
      <w:r w:rsidR="004E232C" w:rsidRPr="004E232C">
        <w:rPr>
          <w:rFonts w:eastAsia="Cambria"/>
          <w:b/>
          <w:color w:val="000000"/>
        </w:rPr>
        <w:t>[</w:t>
      </w:r>
      <w:hyperlink r:id="rId6" w:history="1">
        <w:r w:rsidR="004E232C" w:rsidRPr="004E232C">
          <w:rPr>
            <w:rStyle w:val="Hyperlink"/>
            <w:rFonts w:eastAsia="Cambria"/>
            <w:b/>
          </w:rPr>
          <w:t>pronunciation</w:t>
        </w:r>
      </w:hyperlink>
      <w:r w:rsidR="004E232C" w:rsidRPr="004E232C">
        <w:rPr>
          <w:rFonts w:eastAsia="Cambria"/>
          <w:b/>
          <w:color w:val="000000"/>
        </w:rPr>
        <w:t>]</w:t>
      </w:r>
      <w:r w:rsidRPr="00150396">
        <w:rPr>
          <w:rFonts w:eastAsia="Cambria"/>
          <w:color w:val="000000"/>
        </w:rPr>
        <w:t>.</w:t>
      </w:r>
    </w:p>
    <w:p w14:paraId="14458FB8" w14:textId="1420D24F" w:rsidR="00877B06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t>The virus confers a selectable marker such as antibiotic resistance</w:t>
      </w:r>
      <w:r w:rsidR="0071098B">
        <w:t xml:space="preserve"> to infected cells</w:t>
      </w:r>
      <w:r w:rsidR="00F84E14">
        <w:t>.</w:t>
      </w:r>
      <w:r w:rsidRPr="00150396">
        <w:t xml:space="preserve"> </w:t>
      </w:r>
      <w:r w:rsidR="00F84E14">
        <w:t>Treat</w:t>
      </w:r>
      <w:r w:rsidR="0071098B">
        <w:t xml:space="preserve"> the</w:t>
      </w:r>
      <w:r w:rsidR="00F84E14">
        <w:t xml:space="preserve"> target cell line with antibiotic to eliminate uninfected cells. </w:t>
      </w:r>
    </w:p>
    <w:p w14:paraId="2A5F2FF8" w14:textId="77777777" w:rsidR="00877B06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t>Infected cells survive and expand clonally to form colonies.</w:t>
      </w:r>
    </w:p>
    <w:p w14:paraId="21D800D7" w14:textId="2FD7150D" w:rsidR="00877B06" w:rsidRPr="00150396" w:rsidRDefault="0071098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>
        <w:t>Next, s</w:t>
      </w:r>
      <w:r w:rsidR="00E86D3B" w:rsidRPr="00150396">
        <w:t>tain with crystal violet solution to visualize colonies.</w:t>
      </w:r>
    </w:p>
    <w:p w14:paraId="6C4B96E0" w14:textId="77777777" w:rsidR="00877B06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t xml:space="preserve">Identify the dilution resulting in optimal colony formation. Colonies should not run into each other or be very sparse. </w:t>
      </w:r>
    </w:p>
    <w:p w14:paraId="2C4AA267" w14:textId="77777777" w:rsidR="00877B06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rPr>
          <w:rFonts w:eastAsiaTheme="minorEastAsia"/>
          <w:color w:val="000000" w:themeColor="text1"/>
          <w:kern w:val="24"/>
        </w:rPr>
        <w:t xml:space="preserve">Then count the colonies formed. Each colony represents one transducing unit, or TU, of virus. </w:t>
      </w:r>
    </w:p>
    <w:p w14:paraId="3AB6EBCA" w14:textId="30E49158" w:rsidR="00877B06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rPr>
          <w:rFonts w:eastAsiaTheme="minorEastAsia"/>
          <w:color w:val="000000" w:themeColor="text1"/>
          <w:kern w:val="24"/>
        </w:rPr>
        <w:t xml:space="preserve">Use this number, along with the dilution factor, to calculate </w:t>
      </w:r>
      <w:r w:rsidR="00C051C5">
        <w:rPr>
          <w:rFonts w:eastAsiaTheme="minorEastAsia"/>
          <w:color w:val="000000" w:themeColor="text1"/>
          <w:kern w:val="24"/>
        </w:rPr>
        <w:t xml:space="preserve">the viral titer of the </w:t>
      </w:r>
      <w:r w:rsidRPr="00150396">
        <w:t>original viral stock solution</w:t>
      </w:r>
      <w:r w:rsidR="000B394E">
        <w:t xml:space="preserve"> in </w:t>
      </w:r>
      <w:r w:rsidR="000B394E" w:rsidRPr="00150396">
        <w:t>t</w:t>
      </w:r>
      <w:r w:rsidR="000B394E">
        <w:t>ransducing units per mill</w:t>
      </w:r>
      <w:bookmarkStart w:id="2" w:name="_GoBack"/>
      <w:bookmarkEnd w:id="2"/>
      <w:r w:rsidR="000B394E">
        <w:t>iliter.</w:t>
      </w:r>
    </w:p>
    <w:p w14:paraId="6F5D8547" w14:textId="4403FFA6" w:rsidR="00B86FE1" w:rsidRPr="00150396" w:rsidRDefault="00E86D3B" w:rsidP="00877B06">
      <w:pPr>
        <w:numPr>
          <w:ilvl w:val="1"/>
          <w:numId w:val="1"/>
        </w:numPr>
        <w:spacing w:after="200"/>
        <w:ind w:left="1440"/>
        <w:rPr>
          <w:rFonts w:eastAsia="Calibri"/>
          <w:b/>
        </w:rPr>
      </w:pPr>
      <w:r w:rsidRPr="00150396">
        <w:rPr>
          <w:rFonts w:eastAsia="Cambria"/>
          <w:color w:val="000000"/>
        </w:rPr>
        <w:t>In the following example, we will titrate a retrovirus containing a puromycin</w:t>
      </w:r>
      <w:r w:rsidR="00826D5F">
        <w:rPr>
          <w:rFonts w:eastAsia="Cambria"/>
          <w:color w:val="000000"/>
        </w:rPr>
        <w:t xml:space="preserve"> </w:t>
      </w:r>
      <w:r w:rsidR="00826D5F" w:rsidRPr="00826D5F">
        <w:rPr>
          <w:rFonts w:eastAsia="Cambria"/>
          <w:b/>
          <w:color w:val="000000"/>
        </w:rPr>
        <w:t>[</w:t>
      </w:r>
      <w:hyperlink r:id="rId7" w:history="1">
        <w:r w:rsidR="00826D5F" w:rsidRPr="00826D5F">
          <w:rPr>
            <w:rStyle w:val="Hyperlink"/>
            <w:rFonts w:eastAsia="Cambria"/>
            <w:b/>
          </w:rPr>
          <w:t>pronunciation</w:t>
        </w:r>
      </w:hyperlink>
      <w:r w:rsidR="00826D5F" w:rsidRPr="00826D5F">
        <w:rPr>
          <w:rFonts w:eastAsia="Cambria"/>
          <w:b/>
          <w:color w:val="000000"/>
        </w:rPr>
        <w:t>]</w:t>
      </w:r>
      <w:r w:rsidR="00826D5F">
        <w:rPr>
          <w:rFonts w:eastAsia="Cambria"/>
          <w:color w:val="000000"/>
        </w:rPr>
        <w:t xml:space="preserve"> </w:t>
      </w:r>
      <w:r w:rsidR="006A54FA" w:rsidRPr="00743B2C">
        <w:rPr>
          <w:rFonts w:eastAsia="Cambria"/>
          <w:color w:val="000000"/>
        </w:rPr>
        <w:t>resistance</w:t>
      </w:r>
      <w:r w:rsidR="006A54FA">
        <w:rPr>
          <w:rFonts w:eastAsia="Cambria"/>
          <w:color w:val="000000"/>
        </w:rPr>
        <w:t xml:space="preserve"> </w:t>
      </w:r>
      <w:r w:rsidRPr="00150396">
        <w:rPr>
          <w:rFonts w:eastAsia="Cambria"/>
          <w:color w:val="000000"/>
        </w:rPr>
        <w:t>reporter</w:t>
      </w:r>
      <w:r w:rsidR="001B68CE">
        <w:rPr>
          <w:rFonts w:eastAsia="Cambria"/>
          <w:color w:val="000000"/>
        </w:rPr>
        <w:t>.</w:t>
      </w:r>
    </w:p>
    <w:p w14:paraId="02B84D25" w14:textId="2F1FEBCA" w:rsidR="00877B06" w:rsidRPr="00150396" w:rsidRDefault="006744A6" w:rsidP="00877B06">
      <w:pPr>
        <w:pStyle w:val="ListParagraph"/>
        <w:numPr>
          <w:ilvl w:val="0"/>
          <w:numId w:val="1"/>
        </w:numPr>
        <w:ind w:left="216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TEXT: “</w:t>
      </w:r>
      <w:r w:rsidR="00877B06" w:rsidRPr="00150396">
        <w:rPr>
          <w:rFonts w:ascii="Arial" w:hAnsi="Arial" w:cs="Arial"/>
          <w:sz w:val="22"/>
          <w:szCs w:val="22"/>
        </w:rPr>
        <w:t>Protocol: Titrati</w:t>
      </w:r>
      <w:r>
        <w:rPr>
          <w:rFonts w:ascii="Arial" w:hAnsi="Arial" w:cs="Arial"/>
          <w:sz w:val="22"/>
          <w:szCs w:val="22"/>
        </w:rPr>
        <w:t>ng a</w:t>
      </w:r>
      <w:r w:rsidR="00877B06" w:rsidRPr="00150396">
        <w:rPr>
          <w:rFonts w:ascii="Arial" w:hAnsi="Arial" w:cs="Arial"/>
          <w:sz w:val="22"/>
          <w:szCs w:val="22"/>
        </w:rPr>
        <w:t xml:space="preserve"> Virus </w:t>
      </w:r>
      <w:r>
        <w:rPr>
          <w:rFonts w:ascii="Arial" w:hAnsi="Arial" w:cs="Arial"/>
          <w:sz w:val="22"/>
          <w:szCs w:val="22"/>
        </w:rPr>
        <w:t>Carrying</w:t>
      </w:r>
      <w:r w:rsidR="00877B06" w:rsidRPr="00150396">
        <w:rPr>
          <w:rFonts w:ascii="Arial" w:hAnsi="Arial" w:cs="Arial"/>
          <w:sz w:val="22"/>
          <w:szCs w:val="22"/>
        </w:rPr>
        <w:t xml:space="preserve"> a Puromycin Reporter</w:t>
      </w:r>
      <w:r>
        <w:rPr>
          <w:rFonts w:ascii="Arial" w:hAnsi="Arial" w:cs="Arial"/>
          <w:sz w:val="22"/>
          <w:szCs w:val="22"/>
        </w:rPr>
        <w:t>”</w:t>
      </w:r>
    </w:p>
    <w:p w14:paraId="148FB3EC" w14:textId="77777777" w:rsidR="00150396" w:rsidRDefault="00150396" w:rsidP="00877B06">
      <w:pPr>
        <w:spacing w:after="200"/>
        <w:rPr>
          <w:rFonts w:eastAsia="Calibri"/>
          <w:b/>
        </w:rPr>
      </w:pPr>
    </w:p>
    <w:p w14:paraId="3471E8C2" w14:textId="5FE0E1F0" w:rsidR="005A7BBA" w:rsidRPr="00F84E14" w:rsidRDefault="005A7BBA" w:rsidP="00743B2C">
      <w:pPr>
        <w:pStyle w:val="ListParagraph"/>
        <w:spacing w:after="200"/>
        <w:rPr>
          <w:rFonts w:ascii="Arial" w:eastAsia="Calibri" w:hAnsi="Arial" w:cs="Arial"/>
          <w:b/>
          <w:sz w:val="22"/>
          <w:szCs w:val="22"/>
        </w:rPr>
      </w:pPr>
    </w:p>
    <w:sectPr w:rsidR="005A7BBA" w:rsidRPr="00F84E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6D9D"/>
    <w:multiLevelType w:val="multilevel"/>
    <w:tmpl w:val="D89EB68A"/>
    <w:lvl w:ilvl="0">
      <w:start w:val="1"/>
      <w:numFmt w:val="decimal"/>
      <w:lvlText w:val="%1."/>
      <w:lvlJc w:val="left"/>
      <w:pPr>
        <w:ind w:left="1224" w:hanging="36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decimal"/>
      <w:lvlText w:val="%1.%2."/>
      <w:lvlJc w:val="right"/>
      <w:pPr>
        <w:ind w:left="1944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664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384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104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824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544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264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984" w:hanging="360"/>
      </w:pPr>
      <w:rPr>
        <w:u w:val="none"/>
      </w:rPr>
    </w:lvl>
  </w:abstractNum>
  <w:abstractNum w:abstractNumId="1" w15:restartNumberingAfterBreak="0">
    <w:nsid w:val="75965185"/>
    <w:multiLevelType w:val="hybridMultilevel"/>
    <w:tmpl w:val="9316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0138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B0642"/>
    <w:multiLevelType w:val="hybridMultilevel"/>
    <w:tmpl w:val="D122B186"/>
    <w:lvl w:ilvl="0" w:tplc="E42E790C">
      <w:start w:val="1"/>
      <w:numFmt w:val="decimal"/>
      <w:lvlText w:val="1.%1"/>
      <w:lvlJc w:val="left"/>
      <w:pPr>
        <w:ind w:left="720" w:firstLine="0"/>
      </w:pPr>
      <w:rPr>
        <w:rFonts w:hint="default"/>
        <w:b w:val="0"/>
        <w:i w:val="0"/>
      </w:rPr>
    </w:lvl>
    <w:lvl w:ilvl="1" w:tplc="8E8C2320">
      <w:start w:val="1"/>
      <w:numFmt w:val="decimal"/>
      <w:lvlText w:val="1.%2"/>
      <w:lvlJc w:val="left"/>
      <w:pPr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BBA"/>
    <w:rsid w:val="00031083"/>
    <w:rsid w:val="000B394E"/>
    <w:rsid w:val="00150396"/>
    <w:rsid w:val="001B68CE"/>
    <w:rsid w:val="00247370"/>
    <w:rsid w:val="002967B4"/>
    <w:rsid w:val="0031353C"/>
    <w:rsid w:val="004329D6"/>
    <w:rsid w:val="00435640"/>
    <w:rsid w:val="0044302A"/>
    <w:rsid w:val="004A19A2"/>
    <w:rsid w:val="004E232C"/>
    <w:rsid w:val="005A7BBA"/>
    <w:rsid w:val="005F017A"/>
    <w:rsid w:val="006744A6"/>
    <w:rsid w:val="006A54FA"/>
    <w:rsid w:val="0071098B"/>
    <w:rsid w:val="00741DEC"/>
    <w:rsid w:val="00743B2C"/>
    <w:rsid w:val="0079577B"/>
    <w:rsid w:val="00826D5F"/>
    <w:rsid w:val="00877B06"/>
    <w:rsid w:val="00937553"/>
    <w:rsid w:val="00956008"/>
    <w:rsid w:val="00A54301"/>
    <w:rsid w:val="00AE57A4"/>
    <w:rsid w:val="00B019C8"/>
    <w:rsid w:val="00B86FE1"/>
    <w:rsid w:val="00C051C5"/>
    <w:rsid w:val="00D91921"/>
    <w:rsid w:val="00DF53ED"/>
    <w:rsid w:val="00E441E9"/>
    <w:rsid w:val="00E86D3B"/>
    <w:rsid w:val="00F84E14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2D04"/>
  <w15:docId w15:val="{81D6B11E-C5C2-459B-B800-FF5C3C9F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86D3B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D3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line="240" w:lineRule="auto"/>
      <w:ind w:left="720"/>
      <w:contextualSpacing/>
    </w:pPr>
    <w:rPr>
      <w:rFonts w:ascii="Times" w:eastAsia="Times" w:hAnsi="Times" w:cs="Times"/>
      <w:sz w:val="24"/>
      <w:szCs w:val="24"/>
      <w:lang w:val="en-US"/>
    </w:rPr>
  </w:style>
  <w:style w:type="paragraph" w:styleId="NoSpacing">
    <w:name w:val="No Spacing"/>
    <w:uiPriority w:val="1"/>
    <w:qFormat/>
    <w:rsid w:val="00B86FE1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4E23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23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dictionary/puromyc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titer" TargetMode="External"/><Relationship Id="rId5" Type="http://schemas.openxmlformats.org/officeDocument/2006/relationships/hyperlink" Target="https://www.merriam-webster.com/dictionary/titra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6</cp:revision>
  <dcterms:created xsi:type="dcterms:W3CDTF">2019-05-03T00:47:00Z</dcterms:created>
  <dcterms:modified xsi:type="dcterms:W3CDTF">2019-05-03T18:57:00Z</dcterms:modified>
</cp:coreProperties>
</file>