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25A6" w14:textId="3BA7F5CE" w:rsidR="007C560D" w:rsidRPr="0023263E" w:rsidRDefault="00156CAF" w:rsidP="007C560D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Encyclopedia</w:t>
      </w:r>
      <w:r w:rsidRPr="0023263E">
        <w:rPr>
          <w:rFonts w:ascii="Cambria" w:eastAsia="Cambria" w:hAnsi="Cambria" w:cs="Cambria"/>
          <w:b/>
        </w:rPr>
        <w:t xml:space="preserve"> </w:t>
      </w:r>
      <w:r w:rsidR="007C560D" w:rsidRPr="0023263E">
        <w:rPr>
          <w:rFonts w:ascii="Cambria" w:eastAsia="Cambria" w:hAnsi="Cambria" w:cs="Cambria"/>
          <w:b/>
        </w:rPr>
        <w:t>of Experiments</w:t>
      </w:r>
    </w:p>
    <w:p w14:paraId="444D1B69" w14:textId="77777777" w:rsidR="007C560D" w:rsidRDefault="007C560D" w:rsidP="007C560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20014</w:t>
      </w:r>
    </w:p>
    <w:p w14:paraId="5D215745" w14:textId="77777777" w:rsidR="007C560D" w:rsidRDefault="007C560D" w:rsidP="007C560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Mouse model of PCOS</w:t>
      </w:r>
    </w:p>
    <w:p w14:paraId="631DE0E2" w14:textId="77777777" w:rsidR="007C560D" w:rsidRDefault="007C560D" w:rsidP="007C560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proofErr w:type="spellStart"/>
      <w:r>
        <w:rPr>
          <w:rFonts w:ascii="Cambria" w:eastAsia="Cambria" w:hAnsi="Cambria" w:cs="Cambria"/>
          <w:i/>
          <w:color w:val="000000"/>
        </w:rPr>
        <w:t>Emanuela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Zaharieva</w:t>
      </w:r>
      <w:proofErr w:type="spellEnd"/>
    </w:p>
    <w:p w14:paraId="0C4930BF" w14:textId="77777777" w:rsidR="007C560D" w:rsidRDefault="007C560D" w:rsidP="007C560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7120"/>
      </w:tblGrid>
      <w:tr w:rsidR="007C560D" w14:paraId="18BF2FE9" w14:textId="77777777" w:rsidTr="007934C0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BF6A" w14:textId="77777777" w:rsidR="007C560D" w:rsidRDefault="007C560D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3A44DD">
              <w:rPr>
                <w:rFonts w:ascii="Cambria" w:eastAsia="Cambria" w:hAnsi="Cambria" w:cs="Cambria"/>
                <w:i/>
              </w:rPr>
              <w:t>58379</w:t>
            </w:r>
          </w:p>
        </w:tc>
      </w:tr>
      <w:tr w:rsidR="007C560D" w14:paraId="7DA29D4C" w14:textId="77777777" w:rsidTr="003A44DD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AE6B" w14:textId="77777777" w:rsidR="007C560D" w:rsidRDefault="007C560D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4897" w14:textId="77777777" w:rsidR="007C560D" w:rsidRDefault="007C560D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7C560D" w14:paraId="5CBAAA38" w14:textId="77777777" w:rsidTr="003A44DD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61A5" w14:textId="77777777" w:rsidR="007C560D" w:rsidRDefault="007C560D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ECA7" w14:textId="77777777" w:rsidR="007C560D" w:rsidRDefault="007C560D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0:48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‘For Dihydrotestosterone…”)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“… at each stage”)</w:t>
            </w:r>
          </w:p>
        </w:tc>
      </w:tr>
    </w:tbl>
    <w:p w14:paraId="418D9F43" w14:textId="45303A31" w:rsidR="009D2BE0" w:rsidRDefault="003A44DD" w:rsidP="00334C67"/>
    <w:p w14:paraId="46EE16A6" w14:textId="36E7C362" w:rsidR="00334C67" w:rsidRDefault="00334C67" w:rsidP="00334C67"/>
    <w:p w14:paraId="23439C56" w14:textId="2901CBA6" w:rsidR="007C560D" w:rsidRDefault="007C560D" w:rsidP="007C560D">
      <w:pPr>
        <w:pStyle w:val="ListParagraph"/>
        <w:numPr>
          <w:ilvl w:val="0"/>
          <w:numId w:val="3"/>
        </w:numPr>
        <w:spacing w:before="120"/>
        <w:ind w:left="360"/>
        <w:contextualSpacing w:val="0"/>
      </w:pPr>
      <w:r w:rsidRPr="00B507C1">
        <w:rPr>
          <w:rFonts w:asciiTheme="majorHAnsi" w:eastAsia="Cambria" w:hAnsiTheme="majorHAnsi" w:cstheme="majorHAnsi"/>
          <w:b/>
          <w:i/>
        </w:rPr>
        <w:t>Overview Title TEXT:</w:t>
      </w:r>
      <w:r>
        <w:rPr>
          <w:rFonts w:asciiTheme="majorHAnsi" w:eastAsia="Cambria" w:hAnsiTheme="majorHAnsi" w:cstheme="majorHAnsi"/>
          <w:b/>
          <w:i/>
        </w:rPr>
        <w:t xml:space="preserve"> </w:t>
      </w:r>
      <w:r w:rsidRPr="00411451">
        <w:rPr>
          <w:i/>
        </w:rPr>
        <w:t xml:space="preserve">“Subcutaneous Dihydrotestosterone (DHT) </w:t>
      </w:r>
      <w:r w:rsidR="003A4334">
        <w:rPr>
          <w:i/>
        </w:rPr>
        <w:t>T</w:t>
      </w:r>
      <w:r w:rsidRPr="00411451">
        <w:rPr>
          <w:i/>
        </w:rPr>
        <w:t xml:space="preserve">reatment: </w:t>
      </w:r>
      <w:r w:rsidR="003A4334">
        <w:rPr>
          <w:i/>
        </w:rPr>
        <w:t>M</w:t>
      </w:r>
      <w:r w:rsidRPr="00411451">
        <w:rPr>
          <w:i/>
        </w:rPr>
        <w:t xml:space="preserve">ouse </w:t>
      </w:r>
      <w:r w:rsidR="003A4334">
        <w:rPr>
          <w:i/>
        </w:rPr>
        <w:t>M</w:t>
      </w:r>
      <w:r w:rsidRPr="00411451">
        <w:rPr>
          <w:i/>
        </w:rPr>
        <w:t>odel of</w:t>
      </w:r>
      <w:r w:rsidRPr="00411451">
        <w:rPr>
          <w:rFonts w:ascii="Arial" w:hAnsi="Arial" w:cs="Arial"/>
          <w:i/>
          <w:color w:val="292B31"/>
          <w:shd w:val="clear" w:color="auto" w:fill="FFFFFF"/>
        </w:rPr>
        <w:t xml:space="preserve"> </w:t>
      </w:r>
      <w:r w:rsidR="003A4334">
        <w:rPr>
          <w:i/>
        </w:rPr>
        <w:t>P</w:t>
      </w:r>
      <w:r w:rsidRPr="00411451">
        <w:rPr>
          <w:i/>
        </w:rPr>
        <w:t xml:space="preserve">olycystic </w:t>
      </w:r>
      <w:r w:rsidR="003A4334">
        <w:rPr>
          <w:i/>
        </w:rPr>
        <w:t>O</w:t>
      </w:r>
      <w:r w:rsidRPr="00411451">
        <w:rPr>
          <w:i/>
        </w:rPr>
        <w:t xml:space="preserve">vary </w:t>
      </w:r>
      <w:r w:rsidR="003A4334">
        <w:rPr>
          <w:i/>
        </w:rPr>
        <w:t>S</w:t>
      </w:r>
      <w:r w:rsidRPr="00411451">
        <w:rPr>
          <w:i/>
        </w:rPr>
        <w:t>yndrome (PCOS)”</w:t>
      </w:r>
    </w:p>
    <w:p w14:paraId="191D1BD4" w14:textId="2CDD1E76" w:rsidR="00F036F8" w:rsidRPr="00031F87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 w:rsidRPr="00031F87">
        <w:t>First, to prepare the pellet, in</w:t>
      </w:r>
      <w:r w:rsidR="006D32F3">
        <w:t xml:space="preserve">ject </w:t>
      </w:r>
      <w:r w:rsidRPr="00031F87">
        <w:t>medical adhesive silicone down one end of a precut piece of silicone tubing.</w:t>
      </w:r>
    </w:p>
    <w:p w14:paraId="4F331CCC" w14:textId="5C9F45F4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 xml:space="preserve">Next, </w:t>
      </w:r>
      <w:r w:rsidR="006D32F3">
        <w:t>pack</w:t>
      </w:r>
      <w:r>
        <w:t xml:space="preserve"> Dihydrotestosterone [</w:t>
      </w:r>
      <w:hyperlink r:id="rId6" w:history="1">
        <w:r w:rsidRPr="001933B7">
          <w:rPr>
            <w:rStyle w:val="Hyperlink"/>
          </w:rPr>
          <w:t>pronunciation</w:t>
        </w:r>
      </w:hyperlink>
      <w:r>
        <w:t>], or DHT, crystal powder tightly</w:t>
      </w:r>
      <w:r w:rsidR="006D32F3">
        <w:t xml:space="preserve"> inside the tubing</w:t>
      </w:r>
      <w:r>
        <w:t xml:space="preserve">. </w:t>
      </w:r>
    </w:p>
    <w:p w14:paraId="3A5AACD4" w14:textId="659544F1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 xml:space="preserve">Then, use medical adhesive silicone to seal the other end of the tubing. </w:t>
      </w:r>
    </w:p>
    <w:p w14:paraId="7AAF7770" w14:textId="5B372165" w:rsidR="00F01C57" w:rsidRPr="003A44DD" w:rsidRDefault="00F01C57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  <w:rPr>
          <w:rStyle w:val="CommentReference"/>
          <w:sz w:val="24"/>
          <w:szCs w:val="24"/>
        </w:rPr>
      </w:pPr>
      <w:r>
        <w:t>Pellets should have equal amounts of silicone at each end with no bubbles</w:t>
      </w:r>
      <w:r w:rsidDel="00F01C57">
        <w:rPr>
          <w:rStyle w:val="CommentReference"/>
        </w:rPr>
        <w:t xml:space="preserve"> </w:t>
      </w:r>
      <w:commentRangeStart w:id="0"/>
      <w:commentRangeEnd w:id="0"/>
    </w:p>
    <w:p w14:paraId="66BEDDAA" w14:textId="04F9B55E" w:rsidR="00856BF6" w:rsidRDefault="00856BF6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 xml:space="preserve">Place pellets in saline solution before inserting them in a female mouse. </w:t>
      </w:r>
    </w:p>
    <w:p w14:paraId="021B0D80" w14:textId="18555738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</w:pPr>
      <w:r>
        <w:t xml:space="preserve">On an anesthetized mouse, </w:t>
      </w:r>
      <w:r w:rsidR="006C4C8B" w:rsidRPr="006C4C8B">
        <w:t xml:space="preserve">use a cotton swab with disinfectant to clean the </w:t>
      </w:r>
      <w:r w:rsidR="00B1350B">
        <w:t xml:space="preserve">shaved </w:t>
      </w:r>
      <w:r w:rsidR="006C4C8B" w:rsidRPr="006C4C8B">
        <w:t>surgical area.</w:t>
      </w:r>
    </w:p>
    <w:p w14:paraId="0D1F0F26" w14:textId="3041558A" w:rsidR="00F036F8" w:rsidRDefault="00031F87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>M</w:t>
      </w:r>
      <w:r w:rsidR="00F036F8">
        <w:t xml:space="preserve">ake a </w:t>
      </w:r>
      <w:r w:rsidR="001D79C6">
        <w:t>small</w:t>
      </w:r>
      <w:r w:rsidR="00F036F8">
        <w:t xml:space="preserve"> incision through the skin near the neck. </w:t>
      </w:r>
    </w:p>
    <w:p w14:paraId="4D3E0BFE" w14:textId="77777777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 xml:space="preserve">Use a needle to make a tunnel under the skin in the direction of the mouse’s nose. </w:t>
      </w:r>
      <w:bookmarkStart w:id="1" w:name="_GoBack"/>
      <w:bookmarkEnd w:id="1"/>
    </w:p>
    <w:p w14:paraId="0C89BCA6" w14:textId="77777777" w:rsidR="00856BF6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>Insert the pellet into the tunnel.</w:t>
      </w:r>
    </w:p>
    <w:p w14:paraId="420C74C4" w14:textId="5A91201C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>Lastly, seal the incision with surgical adhesive.</w:t>
      </w:r>
    </w:p>
    <w:p w14:paraId="591ACB96" w14:textId="0D64F6AC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>The pellet will release a steady dose of DHT and is replaced every four weeks to ensure prolonged exposure</w:t>
      </w:r>
      <w:r w:rsidR="00AE4856">
        <w:t xml:space="preserve"> to the drug</w:t>
      </w:r>
      <w:r>
        <w:t>.</w:t>
      </w:r>
      <w:r w:rsidR="006C4C8B">
        <w:t xml:space="preserve"> </w:t>
      </w:r>
    </w:p>
    <w:p w14:paraId="7B7BFF61" w14:textId="0BD84DE7" w:rsidR="00F036F8" w:rsidRDefault="00F036F8" w:rsidP="003A44DD">
      <w:pPr>
        <w:pStyle w:val="ListParagraph"/>
        <w:numPr>
          <w:ilvl w:val="1"/>
          <w:numId w:val="7"/>
        </w:numPr>
        <w:spacing w:before="120"/>
        <w:ind w:left="900" w:hanging="540"/>
        <w:contextualSpacing w:val="0"/>
      </w:pPr>
      <w:r>
        <w:t xml:space="preserve">In the example, we will use DHT to model </w:t>
      </w:r>
      <w:r w:rsidRPr="003F6631">
        <w:t>polycystic ovary syndrome</w:t>
      </w:r>
      <w:r>
        <w:t xml:space="preserve"> (PCOS) in laboratory female mice.</w:t>
      </w:r>
    </w:p>
    <w:p w14:paraId="00FB7C09" w14:textId="77777777" w:rsidR="00F036F8" w:rsidRDefault="00F036F8" w:rsidP="003A44DD">
      <w:pPr>
        <w:spacing w:before="120"/>
      </w:pPr>
    </w:p>
    <w:p w14:paraId="702EA9CA" w14:textId="38974985" w:rsidR="00334C67" w:rsidRPr="003A44DD" w:rsidRDefault="007C560D" w:rsidP="003A44DD">
      <w:pPr>
        <w:pStyle w:val="ListParagraph"/>
        <w:numPr>
          <w:ilvl w:val="0"/>
          <w:numId w:val="3"/>
        </w:numPr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>Protocol Title TEXT</w:t>
      </w:r>
      <w:r w:rsidRPr="007C560D">
        <w:rPr>
          <w:rFonts w:asciiTheme="majorHAnsi" w:eastAsia="Cambria" w:hAnsiTheme="majorHAnsi" w:cstheme="majorHAnsi"/>
          <w:b/>
          <w:i/>
        </w:rPr>
        <w:t xml:space="preserve">: </w:t>
      </w:r>
      <w:r w:rsidR="00966CC3" w:rsidRPr="003A44DD">
        <w:rPr>
          <w:i/>
        </w:rPr>
        <w:t>“</w:t>
      </w:r>
      <w:r w:rsidR="00846B1F" w:rsidRPr="003A44DD">
        <w:rPr>
          <w:i/>
        </w:rPr>
        <w:t xml:space="preserve">Preparation and </w:t>
      </w:r>
      <w:r w:rsidR="00F01C57">
        <w:rPr>
          <w:i/>
        </w:rPr>
        <w:t>Administration</w:t>
      </w:r>
      <w:commentRangeStart w:id="2"/>
      <w:commentRangeEnd w:id="2"/>
      <w:r w:rsidR="00846B1F" w:rsidRPr="003A44DD">
        <w:rPr>
          <w:i/>
        </w:rPr>
        <w:t xml:space="preserve"> of </w:t>
      </w:r>
      <w:r w:rsidR="00C516A2" w:rsidRPr="003A44DD">
        <w:rPr>
          <w:i/>
        </w:rPr>
        <w:t xml:space="preserve">DHT </w:t>
      </w:r>
      <w:r w:rsidR="003A4334">
        <w:rPr>
          <w:i/>
        </w:rPr>
        <w:t>P</w:t>
      </w:r>
      <w:r w:rsidR="00C516A2" w:rsidRPr="003A44DD">
        <w:rPr>
          <w:i/>
        </w:rPr>
        <w:t>ellet</w:t>
      </w:r>
      <w:r w:rsidR="00846B1F" w:rsidRPr="003A44DD">
        <w:rPr>
          <w:i/>
        </w:rPr>
        <w:t>s</w:t>
      </w:r>
      <w:r w:rsidR="00966CC3" w:rsidRPr="003A44DD">
        <w:rPr>
          <w:i/>
        </w:rPr>
        <w:t>”.</w:t>
      </w:r>
      <w:r w:rsidR="00966CC3">
        <w:t xml:space="preserve"> </w:t>
      </w:r>
    </w:p>
    <w:sectPr w:rsidR="00334C67" w:rsidRPr="003A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1B69"/>
    <w:multiLevelType w:val="multilevel"/>
    <w:tmpl w:val="86B4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3979EA"/>
    <w:multiLevelType w:val="multilevel"/>
    <w:tmpl w:val="CB946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34E7083"/>
    <w:multiLevelType w:val="hybridMultilevel"/>
    <w:tmpl w:val="B736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17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556447"/>
    <w:multiLevelType w:val="multilevel"/>
    <w:tmpl w:val="90544A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45917FB"/>
    <w:multiLevelType w:val="multilevel"/>
    <w:tmpl w:val="CB946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7"/>
    <w:rsid w:val="00031F87"/>
    <w:rsid w:val="00034F17"/>
    <w:rsid w:val="00080A73"/>
    <w:rsid w:val="00135B23"/>
    <w:rsid w:val="00142200"/>
    <w:rsid w:val="00156CAF"/>
    <w:rsid w:val="00160FD9"/>
    <w:rsid w:val="001933B7"/>
    <w:rsid w:val="001D79C6"/>
    <w:rsid w:val="0023015D"/>
    <w:rsid w:val="00257537"/>
    <w:rsid w:val="002F4489"/>
    <w:rsid w:val="00334C67"/>
    <w:rsid w:val="003440DB"/>
    <w:rsid w:val="0037066D"/>
    <w:rsid w:val="003A4334"/>
    <w:rsid w:val="003A44DD"/>
    <w:rsid w:val="003C3D1E"/>
    <w:rsid w:val="003F6631"/>
    <w:rsid w:val="00416BE0"/>
    <w:rsid w:val="004318FA"/>
    <w:rsid w:val="00452DA6"/>
    <w:rsid w:val="00474982"/>
    <w:rsid w:val="00475607"/>
    <w:rsid w:val="004F3ADA"/>
    <w:rsid w:val="005036EB"/>
    <w:rsid w:val="00530434"/>
    <w:rsid w:val="00573295"/>
    <w:rsid w:val="0058223F"/>
    <w:rsid w:val="00596487"/>
    <w:rsid w:val="005A3F2D"/>
    <w:rsid w:val="005C12A7"/>
    <w:rsid w:val="005D138F"/>
    <w:rsid w:val="00615A46"/>
    <w:rsid w:val="00637E42"/>
    <w:rsid w:val="00641180"/>
    <w:rsid w:val="006A3A19"/>
    <w:rsid w:val="006B5E98"/>
    <w:rsid w:val="006C4C8B"/>
    <w:rsid w:val="006D32F3"/>
    <w:rsid w:val="00720590"/>
    <w:rsid w:val="00722FED"/>
    <w:rsid w:val="007C560D"/>
    <w:rsid w:val="007F7652"/>
    <w:rsid w:val="00815101"/>
    <w:rsid w:val="00846B1F"/>
    <w:rsid w:val="00856B27"/>
    <w:rsid w:val="00856BF6"/>
    <w:rsid w:val="00870FAF"/>
    <w:rsid w:val="00885DCD"/>
    <w:rsid w:val="008D41FC"/>
    <w:rsid w:val="00935D44"/>
    <w:rsid w:val="0095063C"/>
    <w:rsid w:val="00953718"/>
    <w:rsid w:val="009550C8"/>
    <w:rsid w:val="00966CC3"/>
    <w:rsid w:val="009D4B73"/>
    <w:rsid w:val="009F42B7"/>
    <w:rsid w:val="00A01C5C"/>
    <w:rsid w:val="00A05B01"/>
    <w:rsid w:val="00A11A23"/>
    <w:rsid w:val="00A1379F"/>
    <w:rsid w:val="00A40695"/>
    <w:rsid w:val="00A9068F"/>
    <w:rsid w:val="00AE4856"/>
    <w:rsid w:val="00B1350B"/>
    <w:rsid w:val="00B74E67"/>
    <w:rsid w:val="00BC78EF"/>
    <w:rsid w:val="00BE08E2"/>
    <w:rsid w:val="00C46F13"/>
    <w:rsid w:val="00C516A2"/>
    <w:rsid w:val="00C958BA"/>
    <w:rsid w:val="00E12DFE"/>
    <w:rsid w:val="00E268BC"/>
    <w:rsid w:val="00E93BAF"/>
    <w:rsid w:val="00E96140"/>
    <w:rsid w:val="00ED1A4B"/>
    <w:rsid w:val="00F01C57"/>
    <w:rsid w:val="00F036F8"/>
    <w:rsid w:val="00F07582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FDD5"/>
  <w15:chartTrackingRefBased/>
  <w15:docId w15:val="{805142D1-0E99-4107-A24A-7E76A7F1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C67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3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3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3B7"/>
    <w:rPr>
      <w:rFonts w:ascii="Times" w:eastAsia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3B7"/>
    <w:rPr>
      <w:rFonts w:ascii="Times" w:eastAsia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3B7"/>
    <w:rPr>
      <w:rFonts w:ascii="Segoe UI" w:eastAsia="Time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4C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rriam-webster.com/dictionary/dihydrotestostero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9E9C-3680-410A-8D92-5DB7C371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3</cp:revision>
  <dcterms:created xsi:type="dcterms:W3CDTF">2019-05-10T12:58:00Z</dcterms:created>
  <dcterms:modified xsi:type="dcterms:W3CDTF">2019-05-10T13:16:00Z</dcterms:modified>
</cp:coreProperties>
</file>