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99C7C" w14:textId="77777777" w:rsidR="00165FCB" w:rsidRDefault="005E5C74">
      <w:pPr>
        <w:widowControl w:val="0"/>
        <w:spacing w:line="240" w:lineRule="auto"/>
        <w:rPr>
          <w:rFonts w:ascii="Calibri" w:eastAsia="Calibri" w:hAnsi="Calibri" w:cs="Calibri"/>
          <w:i/>
          <w:color w:val="FF0000"/>
        </w:rPr>
      </w:pPr>
      <w:proofErr w:type="spellStart"/>
      <w:r>
        <w:rPr>
          <w:rFonts w:ascii="Calibri" w:eastAsia="Calibri" w:hAnsi="Calibri" w:cs="Calibri"/>
          <w:b/>
        </w:rPr>
        <w:t>SciEd</w:t>
      </w:r>
      <w:proofErr w:type="spellEnd"/>
      <w:r>
        <w:rPr>
          <w:rFonts w:ascii="Calibri" w:eastAsia="Calibri" w:hAnsi="Calibri" w:cs="Calibri"/>
          <w:b/>
        </w:rPr>
        <w:t xml:space="preserve">: </w:t>
      </w:r>
      <w:proofErr w:type="spellStart"/>
      <w:r>
        <w:rPr>
          <w:rFonts w:ascii="Calibri" w:eastAsia="Calibri" w:hAnsi="Calibri" w:cs="Calibri"/>
        </w:rPr>
        <w:t>RnD</w:t>
      </w:r>
      <w:proofErr w:type="spellEnd"/>
    </w:p>
    <w:p w14:paraId="0754ECE2" w14:textId="77777777" w:rsidR="00165FCB" w:rsidRDefault="005E5C74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Project ID: </w:t>
      </w:r>
      <w:r>
        <w:rPr>
          <w:rFonts w:ascii="Calibri" w:eastAsia="Calibri" w:hAnsi="Calibri" w:cs="Calibri"/>
        </w:rPr>
        <w:t>20011</w:t>
      </w:r>
    </w:p>
    <w:p w14:paraId="6010578B" w14:textId="77777777" w:rsidR="00165FCB" w:rsidRDefault="005E5C74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Title: </w:t>
      </w:r>
      <w:r>
        <w:rPr>
          <w:rFonts w:ascii="Calibri" w:eastAsia="Calibri" w:hAnsi="Calibri" w:cs="Calibri"/>
        </w:rPr>
        <w:t>Neutral Red Uptake</w:t>
      </w:r>
    </w:p>
    <w:p w14:paraId="6DFB473C" w14:textId="77777777" w:rsidR="00165FCB" w:rsidRDefault="005E5C74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Scriptwriter: </w:t>
      </w:r>
      <w:r>
        <w:rPr>
          <w:rFonts w:ascii="Calibri" w:eastAsia="Calibri" w:hAnsi="Calibri" w:cs="Calibri"/>
        </w:rPr>
        <w:t>Anna Justis</w:t>
      </w:r>
    </w:p>
    <w:p w14:paraId="5BE8BD89" w14:textId="77777777" w:rsidR="00165FCB" w:rsidRDefault="00165FCB">
      <w:pPr>
        <w:widowControl w:val="0"/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7965"/>
      </w:tblGrid>
      <w:tr w:rsidR="00165FCB" w14:paraId="6AEFD457" w14:textId="77777777">
        <w:tc>
          <w:tcPr>
            <w:tcW w:w="9570" w:type="dxa"/>
            <w:gridSpan w:val="2"/>
          </w:tcPr>
          <w:p w14:paraId="0ABC0A9D" w14:textId="77777777" w:rsidR="00165FCB" w:rsidRDefault="005E5C74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Protocol Project ID#: 56709</w:t>
            </w:r>
          </w:p>
        </w:tc>
      </w:tr>
      <w:tr w:rsidR="00165FCB" w14:paraId="4DA09BED" w14:textId="77777777">
        <w:tc>
          <w:tcPr>
            <w:tcW w:w="1605" w:type="dxa"/>
          </w:tcPr>
          <w:p w14:paraId="0DB20D5D" w14:textId="77777777" w:rsidR="00165FCB" w:rsidRDefault="005E5C74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Asset</w:t>
            </w:r>
          </w:p>
        </w:tc>
        <w:tc>
          <w:tcPr>
            <w:tcW w:w="7965" w:type="dxa"/>
          </w:tcPr>
          <w:p w14:paraId="02B750BA" w14:textId="77777777" w:rsidR="00165FCB" w:rsidRDefault="005E5C74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Timecode</w:t>
            </w:r>
          </w:p>
        </w:tc>
      </w:tr>
      <w:tr w:rsidR="00165FCB" w14:paraId="16B67FDF" w14:textId="77777777">
        <w:tc>
          <w:tcPr>
            <w:tcW w:w="1605" w:type="dxa"/>
          </w:tcPr>
          <w:p w14:paraId="258AC152" w14:textId="77777777" w:rsidR="00165FCB" w:rsidRDefault="005E5C7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Clip 1</w:t>
            </w:r>
          </w:p>
        </w:tc>
        <w:tc>
          <w:tcPr>
            <w:tcW w:w="7965" w:type="dxa"/>
          </w:tcPr>
          <w:p w14:paraId="572738AF" w14:textId="6F68B935" w:rsidR="00165FCB" w:rsidRDefault="005E5C74">
            <w:pPr>
              <w:widowControl w:val="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6:11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(VO: “One day prior…”)</w:t>
            </w:r>
            <w:r>
              <w:rPr>
                <w:rFonts w:ascii="Calibri" w:eastAsia="Calibri" w:hAnsi="Calibri" w:cs="Calibri"/>
              </w:rPr>
              <w:t xml:space="preserve"> - </w:t>
            </w:r>
            <w:r>
              <w:rPr>
                <w:rFonts w:ascii="Calibri" w:eastAsia="Calibri" w:hAnsi="Calibri" w:cs="Calibri"/>
                <w:b/>
              </w:rPr>
              <w:t>7:03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(VO: “...</w:t>
            </w:r>
            <w:r w:rsidR="00223955">
              <w:rPr>
                <w:rFonts w:ascii="Calibri" w:eastAsia="Calibri" w:hAnsi="Calibri" w:cs="Calibri"/>
                <w:i/>
              </w:rPr>
              <w:t>18-24 hours.</w:t>
            </w:r>
            <w:r>
              <w:rPr>
                <w:rFonts w:ascii="Calibri" w:eastAsia="Calibri" w:hAnsi="Calibri" w:cs="Calibri"/>
                <w:i/>
              </w:rPr>
              <w:t>”)</w:t>
            </w:r>
          </w:p>
        </w:tc>
      </w:tr>
      <w:tr w:rsidR="00165FCB" w14:paraId="5067AC2D" w14:textId="77777777">
        <w:tc>
          <w:tcPr>
            <w:tcW w:w="1605" w:type="dxa"/>
          </w:tcPr>
          <w:p w14:paraId="72544FDF" w14:textId="77777777" w:rsidR="00165FCB" w:rsidRDefault="005E5C7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Clip 2</w:t>
            </w:r>
          </w:p>
        </w:tc>
        <w:tc>
          <w:tcPr>
            <w:tcW w:w="7965" w:type="dxa"/>
          </w:tcPr>
          <w:p w14:paraId="27891141" w14:textId="564D7D2C" w:rsidR="00165FCB" w:rsidRDefault="005E5C7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7:1</w:t>
            </w:r>
            <w:r w:rsidR="00223955"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(VO: “</w:t>
            </w:r>
            <w:r w:rsidR="00223955">
              <w:rPr>
                <w:rFonts w:ascii="Calibri" w:eastAsia="Calibri" w:hAnsi="Calibri" w:cs="Calibri"/>
                <w:i/>
              </w:rPr>
              <w:t>Shortly before its use</w:t>
            </w:r>
            <w:r>
              <w:rPr>
                <w:rFonts w:ascii="Calibri" w:eastAsia="Calibri" w:hAnsi="Calibri" w:cs="Calibri"/>
                <w:i/>
              </w:rPr>
              <w:t>…”)</w:t>
            </w:r>
            <w:r>
              <w:rPr>
                <w:rFonts w:ascii="Calibri" w:eastAsia="Calibri" w:hAnsi="Calibri" w:cs="Calibri"/>
              </w:rPr>
              <w:t xml:space="preserve"> - </w:t>
            </w:r>
            <w:r>
              <w:rPr>
                <w:rFonts w:ascii="Calibri" w:eastAsia="Calibri" w:hAnsi="Calibri" w:cs="Calibri"/>
                <w:b/>
              </w:rPr>
              <w:t>8:27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(VO: “...absorbance at 540 nanometers.”)</w:t>
            </w:r>
          </w:p>
        </w:tc>
      </w:tr>
      <w:tr w:rsidR="00223955" w14:paraId="18099EC6" w14:textId="77777777">
        <w:tc>
          <w:tcPr>
            <w:tcW w:w="1605" w:type="dxa"/>
          </w:tcPr>
          <w:p w14:paraId="08F1CFD5" w14:textId="3319C4A4" w:rsidR="00223955" w:rsidRDefault="0022395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7965" w:type="dxa"/>
          </w:tcPr>
          <w:p w14:paraId="3FBEDBF8" w14:textId="210E0D1D" w:rsidR="00223955" w:rsidRDefault="00223955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344511B7" w14:textId="77777777" w:rsidR="00165FCB" w:rsidRDefault="00165FCB">
      <w:pPr>
        <w:rPr>
          <w:rFonts w:ascii="Calibri" w:eastAsia="Calibri" w:hAnsi="Calibri" w:cs="Calibri"/>
        </w:rPr>
      </w:pPr>
      <w:bookmarkStart w:id="0" w:name="_gjdgxs" w:colFirst="0" w:colLast="0"/>
      <w:bookmarkEnd w:id="0"/>
    </w:p>
    <w:p w14:paraId="58C56B60" w14:textId="77777777" w:rsidR="00165FCB" w:rsidRDefault="005E5C74">
      <w:pPr>
        <w:numPr>
          <w:ilvl w:val="0"/>
          <w:numId w:val="1"/>
        </w:numPr>
        <w:spacing w:after="200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Neutral Red Uptake Cell Viability Assay: an </w:t>
      </w:r>
      <w:r>
        <w:rPr>
          <w:rFonts w:ascii="Calibri" w:eastAsia="Calibri" w:hAnsi="Calibri" w:cs="Calibri"/>
          <w:b/>
          <w:i/>
        </w:rPr>
        <w:t>in-vitro</w:t>
      </w:r>
      <w:r>
        <w:rPr>
          <w:rFonts w:ascii="Calibri" w:eastAsia="Calibri" w:hAnsi="Calibri" w:cs="Calibri"/>
          <w:b/>
        </w:rPr>
        <w:t xml:space="preserve"> method to measure toxicity</w:t>
      </w:r>
    </w:p>
    <w:p w14:paraId="28B5302C" w14:textId="77777777" w:rsidR="00165FCB" w:rsidRDefault="005E5C74">
      <w:pPr>
        <w:numPr>
          <w:ilvl w:val="1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Prepare by plating cells and incubating them overnight.  Then treat some cells with a substance you want to test for toxicity.</w:t>
      </w:r>
    </w:p>
    <w:p w14:paraId="4A05C9D9" w14:textId="77777777" w:rsidR="00165FCB" w:rsidRDefault="005E5C74">
      <w:pPr>
        <w:numPr>
          <w:ilvl w:val="1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begin the assay, add pre-warmed neutral red staining solution to your cells.</w:t>
      </w:r>
    </w:p>
    <w:p w14:paraId="5B1D56B5" w14:textId="77777777" w:rsidR="00165FCB" w:rsidRDefault="005E5C74">
      <w:pPr>
        <w:numPr>
          <w:ilvl w:val="1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While the plate is incubating, viable cells will take up the neutral red stain, storing it in lysosomes.  Cells experiencing toxic effects will take up less- or no- stain.</w:t>
      </w:r>
    </w:p>
    <w:p w14:paraId="0F944588" w14:textId="77777777" w:rsidR="00165FCB" w:rsidRDefault="005E5C74">
      <w:pPr>
        <w:numPr>
          <w:ilvl w:val="1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Next, remove any free neutral red by washing the wells with PBS.  Some stain with remain stuck to the cells.</w:t>
      </w:r>
    </w:p>
    <w:p w14:paraId="463C3BD6" w14:textId="77777777" w:rsidR="00165FCB" w:rsidRDefault="005E5C74">
      <w:pPr>
        <w:numPr>
          <w:ilvl w:val="1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Now, add a de-staining solution containing ethanol and acetic acid.  This mixture will remove the loosely bound stain while leaving behind the internalized stain.  </w:t>
      </w:r>
    </w:p>
    <w:p w14:paraId="0FD05AE2" w14:textId="77777777" w:rsidR="00165FCB" w:rsidRDefault="005E5C74">
      <w:pPr>
        <w:numPr>
          <w:ilvl w:val="1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Wells with more neutral red staining had more viable cells at the beginning of the assay, and less staining indicates fewer viable cells. </w:t>
      </w:r>
    </w:p>
    <w:p w14:paraId="473B5749" w14:textId="77777777" w:rsidR="00165FCB" w:rsidRDefault="005E5C74">
      <w:pPr>
        <w:numPr>
          <w:ilvl w:val="1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this example, we will use neutral red uptake to assess the viability of cells treated with cigarette smoke extract.</w:t>
      </w:r>
    </w:p>
    <w:p w14:paraId="4A90546D" w14:textId="365C8EA4" w:rsidR="00165FCB" w:rsidRDefault="005E5C74">
      <w:pPr>
        <w:numPr>
          <w:ilvl w:val="0"/>
          <w:numId w:val="1"/>
        </w:numPr>
        <w:spacing w:after="200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Protocol: Neutral Red Uptake Assay to Measure Toxicity of Cigarette Smoke</w:t>
      </w:r>
    </w:p>
    <w:p w14:paraId="3D5797E5" w14:textId="77777777" w:rsidR="00284120" w:rsidRDefault="00284120" w:rsidP="005E5C74">
      <w:pPr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Notes for RE:</w:t>
      </w:r>
    </w:p>
    <w:p w14:paraId="5AD122B3" w14:textId="466EF5C8" w:rsidR="00284120" w:rsidRPr="00284120" w:rsidRDefault="00284120" w:rsidP="00284120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284120">
        <w:rPr>
          <w:rFonts w:ascii="Calibri" w:eastAsia="Calibri" w:hAnsi="Calibri" w:cs="Calibri"/>
        </w:rPr>
        <w:t>Protocol video will be Clip 1</w:t>
      </w:r>
      <w:bookmarkStart w:id="1" w:name="_GoBack"/>
      <w:bookmarkEnd w:id="1"/>
      <w:r w:rsidRPr="00284120">
        <w:rPr>
          <w:rFonts w:ascii="Calibri" w:eastAsia="Calibri" w:hAnsi="Calibri" w:cs="Calibri"/>
        </w:rPr>
        <w:t xml:space="preserve"> immediately followed by Clip 2</w:t>
      </w:r>
    </w:p>
    <w:p w14:paraId="54AEFAD4" w14:textId="6F4B0A78" w:rsidR="005E5C74" w:rsidRPr="00284120" w:rsidRDefault="00223955" w:rsidP="00284120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284120">
        <w:rPr>
          <w:rFonts w:ascii="Calibri" w:eastAsia="Calibri" w:hAnsi="Calibri" w:cs="Calibri"/>
        </w:rPr>
        <w:t xml:space="preserve">Add on-screen text box </w:t>
      </w:r>
      <w:r w:rsidR="005E5C74" w:rsidRPr="00284120">
        <w:rPr>
          <w:rFonts w:ascii="Calibri" w:eastAsia="Calibri" w:hAnsi="Calibri" w:cs="Calibri"/>
        </w:rPr>
        <w:t>during last VO sentence of</w:t>
      </w:r>
      <w:r w:rsidRPr="00284120">
        <w:rPr>
          <w:rFonts w:ascii="Calibri" w:eastAsia="Calibri" w:hAnsi="Calibri" w:cs="Calibri"/>
        </w:rPr>
        <w:t xml:space="preserve"> Clip 1, “Seal the plate with a foil seal to keep the wells air tight</w:t>
      </w:r>
      <w:r w:rsidR="005E5C74" w:rsidRPr="00284120">
        <w:rPr>
          <w:rFonts w:ascii="Calibri" w:eastAsia="Calibri" w:hAnsi="Calibri" w:cs="Calibri"/>
        </w:rPr>
        <w:t xml:space="preserve"> and then place the plate back into the incubator for 18-24 hours.”</w:t>
      </w:r>
    </w:p>
    <w:p w14:paraId="17D908BD" w14:textId="601D0754" w:rsidR="00223955" w:rsidRPr="00223955" w:rsidRDefault="005E5C74" w:rsidP="005E5C74">
      <w:pPr>
        <w:ind w:left="360" w:firstLine="360"/>
        <w:rPr>
          <w:rFonts w:ascii="Calibri" w:eastAsia="Calibri" w:hAnsi="Calibri" w:cs="Calibri"/>
        </w:rPr>
      </w:pPr>
      <w:r w:rsidRPr="005E5C74">
        <w:rPr>
          <w:rFonts w:ascii="Calibri" w:eastAsia="Calibri" w:hAnsi="Calibri" w:cs="Calibri"/>
          <w:b/>
        </w:rPr>
        <w:t>TEXT:</w:t>
      </w:r>
      <w:r>
        <w:rPr>
          <w:rFonts w:ascii="Calibri" w:eastAsia="Calibri" w:hAnsi="Calibri" w:cs="Calibri"/>
        </w:rPr>
        <w:t xml:space="preserve"> “Seal plate if testing volatile compounds”</w:t>
      </w:r>
    </w:p>
    <w:sectPr w:rsidR="00223955" w:rsidRPr="002239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711CA"/>
    <w:multiLevelType w:val="multilevel"/>
    <w:tmpl w:val="293A21F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5F7772"/>
    <w:multiLevelType w:val="hybridMultilevel"/>
    <w:tmpl w:val="E52C89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FCB"/>
    <w:rsid w:val="00165FCB"/>
    <w:rsid w:val="00223955"/>
    <w:rsid w:val="00284120"/>
    <w:rsid w:val="005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92D2"/>
  <w15:docId w15:val="{8AF96C83-897D-4D35-912B-E782C260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84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4</cp:revision>
  <dcterms:created xsi:type="dcterms:W3CDTF">2019-04-05T16:28:00Z</dcterms:created>
  <dcterms:modified xsi:type="dcterms:W3CDTF">2019-04-05T16:52:00Z</dcterms:modified>
</cp:coreProperties>
</file>