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TITLE: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Contrast of Three Inoculation Techniques Used to Determine the Race of Unknown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Fusarium oxysporum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f.sp.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niveum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Isolates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AUTHORS: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 TEST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Email addresses of co-authors: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  <w:tab/>
        <w:tab/>
        <w:tab/>
        <w:tab/>
        <w:t xml:space="preserve">(TEST@test.edu)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CORRESPONDING AUTHOR: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  <w:tab/>
        <w:tab/>
        <w:tab/>
        <w:tab/>
        <w:t xml:space="preserve">(TEST@test.edu)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KEYWORDS: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SHORT ABSTRACT: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LONG ABSTRACT: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INTRODUCTION: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TEST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PROTOCOL: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REPRESENTATIVE RESULTS: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DISCUSSION: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DISCLOSURES: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TEST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ACKNOWLEDGMENTS: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TEST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REFERENCES: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</w:t>
        <w:tab/>
        <w:t xml:space="preserve">Costa, A. E. S.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et al. Resistance to Fusarium wilt in watermelon accessions inoculated by chlamydospores.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Scientia Horticulturae.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228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181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186 (2018).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</w:t>
        <w:tab/>
        <w:t xml:space="preserve">Leslie, J. F., Summerell, B. A.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The Fusarium laboratory manual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John Wiley &amp;amp; Sons (2008).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</w:t>
        <w:tab/>
        <w:t xml:space="preserve">Lo Presti, L. et al. Fungal effectors and plant susceptibility.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Annual Review of Plant Biology.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66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513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545 (2015).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</w:t>
        <w:tab/>
        <w:t xml:space="preserve">Niu, X. et al. The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FonSIX6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gene acts as an avirulence effector in the Fusarium oxysporum f. sp. niveum-watermelon pathosystem.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Scientific Reports.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(1), 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 (2016).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</w:t>
        <w:tab/>
        <w:t xml:space="preserve">Czislowski, E.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et al. Investigation of the diversity of effector genes in the banana pathogen,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Fusarium oxysporum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f. sp. cubense, reveals evidence of horizontal gene transfer.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Molecular Plant Pathology.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(5), 1155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1171 (2018).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</w:t>
        <w:tab/>
        <w:t xml:space="preserve">Lai, X.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et al. Evaluating inoculation methods to infect sugar beet with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Fusarium oxysporum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f. betae and F. secorum.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Plant Disease.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(5), 1312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1317 (2020).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</w:t>
        <w:tab/>
        <w:t xml:space="preserve">Kirk, W.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et al. Optimizing fungicide timing for the control of Rhizoctonia crown and root rot of sugar beet using soil temperature and plant growth stages.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Plant Disease.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92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(7), 1091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1098 (2008).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</w:t>
        <w:tab/>
        <w:t xml:space="preserve">Fulton, J. C. et al. Phylogenetic and phenotypic characterization of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Fusarium oxysporum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f. sp. niveum isolates from Florida-grown watermelon.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PLoS One.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(3), e0248364 (2021).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</w:t>
        <w:tab/>
        <w:t xml:space="preserve">Lin, Y.-H. et al. Development of the molecular methods for rapid detection and differentiation of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Fusarium oxysporum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and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F. oxysporum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f. sp. niveum in Taiwan.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New Biotechnology.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(4), 409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418 (2010).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</w:t>
        <w:tab/>
        <w:t xml:space="preserve">Baayen, R. P.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et al. Gene genealogies and AFLP analyses in the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Fusarium oxysporum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complex identify monophyletic and nonmonophyletic formae speciales causing wilt and rot disease.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Phytopathology.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90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(8), 891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900 (2000).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</w:t>
        <w:tab/>
        <w:t xml:space="preserve">Hudson, O.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et al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Marker development for differentiation of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Fusarium oxysporum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f. sp. Niveum race 3 from races 1 and 2.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International Journal of Molecular Sciences.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(2), 822 (2021).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