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48"/>
        <w:spacing w:after="28" w:before="28"/>
      </w:pPr>
      <w:r>
        <w:rPr>
          <w:rFonts w:cs="Calibri"/>
          <w:b/>
          <w:bCs/>
          <w:color w:val="808080"/>
        </w:rPr>
        <w:t xml:space="preserve">TITLE: </w:t>
      </w:r>
    </w:p>
    <w:p>
      <w:pPr>
        <w:pStyle w:val="style48"/>
        <w:spacing w:after="28" w:before="28"/>
      </w:pPr>
      <w:r>
        <w:rPr>
          <w:rFonts w:cs="Calibri"/>
          <w:b/>
          <w:bCs/>
          <w:color w:val="808080"/>
        </w:rPr>
        <w:t>Safety Precautions and Basic Equipment</w:t>
      </w:r>
    </w:p>
    <w:p>
      <w:pPr>
        <w:pStyle w:val="style48"/>
        <w:spacing w:after="28" w:before="28"/>
      </w:pPr>
      <w:r>
        <w:rPr/>
      </w:r>
    </w:p>
    <w:p>
      <w:pPr>
        <w:pStyle w:val="style48"/>
        <w:spacing w:after="28" w:before="28"/>
      </w:pPr>
      <w:r>
        <w:rPr>
          <w:rFonts w:cs="Calibri"/>
          <w:b/>
          <w:bCs/>
          <w:color w:val="808080"/>
        </w:rPr>
        <w:t xml:space="preserve">AUTHORS AND AFFILIATIONS: </w:t>
      </w:r>
    </w:p>
    <w:p>
      <w:pPr>
        <w:pStyle w:val="style48"/>
        <w:spacing w:after="28" w:before="28"/>
      </w:pPr>
      <w:r>
        <w:rPr>
          <w:rFonts w:cs="Calibri"/>
          <w:b/>
          <w:bCs/>
          <w:color w:val="808080"/>
        </w:rPr>
        <w:t>Ali Bazzi, Department of Electrical Engineering, University of Connecticut, Storrs, CT.</w:t>
      </w:r>
    </w:p>
    <w:p>
      <w:pPr>
        <w:pStyle w:val="style48"/>
        <w:spacing w:after="28" w:before="28"/>
      </w:pPr>
      <w:r>
        <w:rPr/>
      </w:r>
    </w:p>
    <w:p>
      <w:pPr>
        <w:pStyle w:val="style48"/>
        <w:spacing w:after="28" w:before="28"/>
      </w:pPr>
      <w:r>
        <w:rPr>
          <w:rFonts w:cs="Calibri"/>
          <w:b/>
          <w:bCs/>
          <w:color w:val="808080"/>
        </w:rPr>
        <w:t>SUMMARY:</w:t>
      </w:r>
    </w:p>
    <w:p>
      <w:pPr>
        <w:pStyle w:val="style48"/>
        <w:spacing w:after="28" w:before="28"/>
      </w:pPr>
      <w:r>
        <w:rPr>
          <w:rFonts w:cs="Calibri"/>
          <w:b/>
          <w:bCs/>
          <w:color w:val="808080"/>
        </w:rPr>
        <w:t>Electric machines and power electronics experiments involve electrical currents, voltages, power, and energy quantities that should be handled with extreme diligence and care. These may include three-phase AC voltage (208 V, 230 V, or 480 V), up to 250 V DC voltages, and currents that can reach 10 A. Electrocution occurs when an electrical path is established through the body with very low currents that can damage vital organs, such as a person’s heart, and may cause immediate death. All experiments must be performed in the presence of personnel trained to handle electricity at these voltage and current levels. In case of emergency, evacuate the lab through any of the exits and dial 911.</w:t>
      </w:r>
    </w:p>
    <w:p>
      <w:pPr>
        <w:pStyle w:val="style48"/>
        <w:spacing w:after="28" w:before="28"/>
      </w:pPr>
      <w:r>
        <w:rPr/>
      </w:r>
    </w:p>
    <w:p>
      <w:pPr>
        <w:pStyle w:val="style48"/>
        <w:spacing w:after="28" w:before="28"/>
      </w:pPr>
      <w:r>
        <w:rPr>
          <w:rFonts w:cs="Calibri"/>
          <w:b/>
          <w:bCs/>
          <w:color w:val="808080"/>
        </w:rPr>
        <w:t xml:space="preserve">ABSTRACT: </w:t>
      </w:r>
    </w:p>
    <w:p>
      <w:pPr>
        <w:pStyle w:val="style48"/>
        <w:spacing w:after="28" w:before="28"/>
      </w:pPr>
      <w:r>
        <w:rPr>
          <w:rFonts w:cs="Calibri"/>
          <w:b/>
          <w:bCs/>
          <w:color w:val="808080"/>
        </w:rPr>
        <w:t>The “Safety Precautions” procedural section covers the major guidelines and precautions intended to achieve a safe lab and operating environment for people performing experiments. These guidelines are by no means inclusive of all necessary precautions, and local electrical safety rules and regulations should be followed.</w:t>
      </w:r>
    </w:p>
    <w:p>
      <w:pPr>
        <w:pStyle w:val="style48"/>
        <w:spacing w:after="28" w:before="28"/>
      </w:pPr>
      <w:r>
        <w:rPr/>
      </w:r>
    </w:p>
    <w:p>
      <w:pPr>
        <w:pStyle w:val="style48"/>
        <w:spacing w:after="28" w:before="28"/>
      </w:pPr>
      <w:r>
        <w:rPr>
          <w:rFonts w:cs="Calibri"/>
          <w:b/>
          <w:bCs/>
          <w:color w:val="808080"/>
        </w:rPr>
        <w:t xml:space="preserve">INTRODUCTION: </w:t>
      </w:r>
    </w:p>
    <w:p>
      <w:pPr>
        <w:pStyle w:val="style48"/>
        <w:spacing w:after="28" w:before="28"/>
      </w:pPr>
      <w:r>
        <w:rPr>
          <w:rFonts w:cs="Calibri"/>
          <w:b/>
          <w:bCs/>
          <w:color w:val="808080"/>
        </w:rPr>
        <w:t>Experiments involving electric machines and power electronics typically use common equipment to supply power and to measure electrical quantities. However, circuits and apparatus being tested vary for different experiments. The “Basic Equipment” procedural section provides an overview of major equipment used for most electric machines and power electronics experiments. Specific equipment, circuits, and apparatus are introduced in each experiment as needed.</w:t>
      </w:r>
    </w:p>
    <w:p>
      <w:pPr>
        <w:pStyle w:val="style48"/>
        <w:spacing w:after="28" w:before="28"/>
      </w:pPr>
      <w:r>
        <w:rPr/>
      </w:r>
    </w:p>
    <w:p>
      <w:pPr>
        <w:pStyle w:val="style48"/>
        <w:spacing w:after="28" w:before="28"/>
      </w:pPr>
      <w:r>
        <w:rPr>
          <w:rFonts w:cs="Calibri"/>
          <w:b/>
          <w:bCs/>
          <w:color w:val="808080"/>
        </w:rPr>
        <w:t>PROTOCOL:</w:t>
      </w:r>
    </w:p>
    <w:p>
      <w:pPr>
        <w:pStyle w:val="style48"/>
        <w:spacing w:after="28" w:before="28"/>
      </w:pPr>
      <w:r>
        <w:rPr>
          <w:rFonts w:cs="Calibri"/>
          <w:b/>
          <w:bCs/>
          <w:color w:val="808080"/>
        </w:rPr>
        <w:t>Safety Precautions</w:t>
      </w:r>
    </w:p>
    <w:p>
      <w:pPr>
        <w:pStyle w:val="style48"/>
        <w:spacing w:after="28" w:before="28"/>
      </w:pPr>
      <w:r>
        <w:rPr>
          <w:rFonts w:cs="Calibri"/>
          <w:b/>
          <w:bCs/>
          <w:color w:val="808080"/>
        </w:rPr>
        <w:t>1. Electric Power and Experimental Setup</w:t>
      </w:r>
    </w:p>
    <w:p>
      <w:pPr>
        <w:pStyle w:val="style48"/>
        <w:spacing w:after="28" w:before="28"/>
      </w:pPr>
      <w:r>
        <w:rPr/>
      </w:r>
    </w:p>
    <w:p>
      <w:pPr>
        <w:pStyle w:val="style48"/>
        <w:spacing w:after="28" w:before="28"/>
      </w:pPr>
      <w:r>
        <w:rPr>
          <w:rFonts w:cs="Calibri"/>
          <w:b/>
          <w:bCs/>
          <w:color w:val="808080"/>
        </w:rPr>
        <w:t>1.1. Avoid loose wires, cables, and connections.</w:t>
      </w:r>
    </w:p>
    <w:p>
      <w:pPr>
        <w:pStyle w:val="style48"/>
        <w:spacing w:after="28" w:before="28"/>
      </w:pPr>
      <w:r>
        <w:rPr/>
      </w:r>
    </w:p>
    <w:p>
      <w:pPr>
        <w:pStyle w:val="style48"/>
        <w:spacing w:after="28" w:before="28"/>
      </w:pPr>
      <w:r>
        <w:rPr>
          <w:rFonts w:cs="Calibri"/>
          <w:b/>
          <w:bCs/>
          <w:color w:val="808080"/>
        </w:rPr>
        <w:t>1.2. Assume any exposed metal is live with electricity unless otherwise verified.</w:t>
      </w:r>
    </w:p>
    <w:p>
      <w:pPr>
        <w:sectPr>
          <w:footerReference r:id="rId2" w:type="first"/>
          <w:type w:val="nextPage"/>
          <w:pgSz w:h="15840" w:w="12240"/>
          <w:pgMar w:bottom="892" w:footer="0" w:gutter="0" w:header="0" w:left="1440" w:right="1440" w:top="720"/>
          <w:lnNumType w:countBy="1" w:distance="283" w:restart="continuous"/>
          <w:pgNumType w:fmt="decimal"/>
          <w:formProt w:val="false"/>
          <w:titlePg/>
          <w:textDirection w:val="lrTb"/>
          <w:docGrid w:charSpace="0" w:linePitch="360" w:type="default"/>
        </w:sectPr>
        <w:pStyle w:val="style48"/>
        <w:spacing w:after="28" w:before="28"/>
      </w:pPr>
      <w:r>
        <w:rPr>
          <w:rFonts w:cs="Calibri"/>
          <w:b/>
          <w:bCs/>
          <w:color w:val="808080"/>
        </w:rPr>
        <w:t>1.3. Familiarize oneself with all ON/OFF buttons on equipment, circuit breakers, and disconnect switches of a bench.</w:t>
      </w:r>
    </w:p>
    <w:p>
      <w:pPr>
        <w:pStyle w:val="style48"/>
        <w:spacing w:after="28" w:before="28"/>
      </w:pPr>
      <w:r>
        <w:rPr/>
      </w:r>
    </w:p>
    <w:p>
      <w:pPr>
        <w:pStyle w:val="style48"/>
        <w:spacing w:after="28" w:before="28"/>
      </w:pPr>
      <w:r>
        <w:rPr>
          <w:rFonts w:cs="Calibri"/>
          <w:b/>
          <w:bCs/>
          <w:color w:val="808080"/>
        </w:rPr>
        <w:t>1.4. Only make changes to the experimental setup when the circuit power is turned off and all power sources read zero voltage and zero current, as applicable.</w:t>
      </w:r>
    </w:p>
    <w:p>
      <w:pPr>
        <w:pStyle w:val="style48"/>
        <w:spacing w:after="28" w:before="28"/>
      </w:pPr>
      <w:r>
        <w:rPr>
          <w:rFonts w:cs="Calibri"/>
          <w:b/>
          <w:bCs/>
          <w:color w:val="808080"/>
        </w:rPr>
        <w:t>1.5. Use wires of suitable length for their appropriate applications. Long wires or connections can cause clutter on a bench, and very short wires or connections can be too tight and may be easily disconnected.</w:t>
      </w:r>
    </w:p>
    <w:p>
      <w:pPr>
        <w:pStyle w:val="style48"/>
        <w:spacing w:after="28" w:before="28"/>
      </w:pPr>
      <w:r>
        <w:rPr>
          <w:rFonts w:cs="Calibri"/>
          <w:b/>
          <w:bCs/>
          <w:color w:val="808080"/>
        </w:rPr>
        <w:t>1.6. Separate higher power equipment and connections from lower power equipment, such as microcontrollers, to avoid both interference and electrical interconnections between sensitive electronic devices and higher power devices.</w:t>
      </w:r>
    </w:p>
    <w:p>
      <w:pPr>
        <w:pStyle w:val="style48"/>
        <w:spacing w:after="28" w:before="28"/>
      </w:pPr>
      <w:r>
        <w:rPr/>
      </w:r>
    </w:p>
    <w:p>
      <w:pPr>
        <w:pStyle w:val="style48"/>
        <w:spacing w:after="28" w:before="28"/>
      </w:pPr>
      <w:r>
        <w:rPr>
          <w:rFonts w:cs="Calibri"/>
          <w:b/>
          <w:bCs/>
          <w:color w:val="808080"/>
        </w:rPr>
        <w:t>DISCUSSION:</w:t>
      </w:r>
    </w:p>
    <w:p>
      <w:pPr>
        <w:pStyle w:val="style48"/>
        <w:spacing w:after="28" w:before="28"/>
      </w:pPr>
      <w:r>
        <w:rPr>
          <w:rFonts w:cs="Calibri"/>
          <w:b/>
          <w:bCs/>
          <w:color w:val="808080"/>
        </w:rPr>
        <w:t>Safety is the most important practice in an electrical engineering laboratory. Electrical measurement and power equipment are common in many heavy industries (metal processing, pulp and paper, etc.), automotive, marine, aerospace, military, and others. Various brands and models of different equipment and tools described in the video may have different labels, buttons, and knobs, but the general concepts still apply.</w:t>
      </w:r>
    </w:p>
    <w:p>
      <w:pPr>
        <w:pStyle w:val="style48"/>
        <w:spacing w:after="28" w:before="28"/>
      </w:pPr>
      <w:r>
        <w:rPr/>
      </w:r>
    </w:p>
    <w:p>
      <w:pPr>
        <w:pStyle w:val="style48"/>
        <w:spacing w:after="28" w:before="28"/>
      </w:pPr>
      <w:r>
        <w:rPr>
          <w:rFonts w:cs="Calibri"/>
          <w:b/>
          <w:bCs/>
          <w:color w:val="808080"/>
        </w:rPr>
        <w:t xml:space="preserve">DISCLOSURES: </w:t>
      </w:r>
    </w:p>
    <w:p>
      <w:pPr>
        <w:pStyle w:val="style48"/>
        <w:spacing w:after="28" w:before="28"/>
      </w:pPr>
      <w:r>
        <w:rPr>
          <w:rFonts w:cs="Calibri"/>
          <w:b/>
          <w:bCs/>
          <w:color w:val="808080"/>
        </w:rPr>
        <w:t>ipment are common in many heavy industries (metal processing, pulp and paper, etc.), automotive, marine, aerospace, military, and others. Var</w:t>
      </w:r>
    </w:p>
    <w:p>
      <w:pPr>
        <w:pStyle w:val="style48"/>
        <w:spacing w:after="28" w:before="28"/>
      </w:pPr>
      <w:r>
        <w:rPr/>
      </w:r>
    </w:p>
    <w:p>
      <w:pPr>
        <w:pStyle w:val="style48"/>
        <w:spacing w:after="28" w:before="28"/>
      </w:pPr>
      <w:r>
        <w:rPr>
          <w:rFonts w:cs="Calibri"/>
          <w:b/>
          <w:bCs/>
          <w:color w:val="808080"/>
        </w:rPr>
        <w:t>ACKNOWLEDGMENTS:</w:t>
      </w:r>
    </w:p>
    <w:p>
      <w:pPr>
        <w:pStyle w:val="style48"/>
        <w:spacing w:after="28" w:before="28"/>
      </w:pPr>
      <w:r>
        <w:rPr>
          <w:rFonts w:cs="Calibri"/>
          <w:b/>
          <w:bCs/>
          <w:color w:val="808080"/>
        </w:rPr>
        <w:t>In an educational laboratory environment, the safety details and equipment described above are commonly used in experiments related to AC/DC, DC/AC, DC/DC, and AC/AC power conversion, transformers, electric motors and generators, and basic electric motor drives.</w:t>
      </w:r>
    </w:p>
    <w:p>
      <w:pPr>
        <w:pStyle w:val="style48"/>
        <w:spacing w:after="28" w:before="28"/>
      </w:pPr>
      <w:r>
        <w:rPr/>
      </w:r>
    </w:p>
    <w:p>
      <w:pPr>
        <w:pStyle w:val="style48"/>
        <w:spacing w:after="28" w:before="28"/>
      </w:pPr>
      <w:r>
        <w:rPr>
          <w:rFonts w:cs="Calibri"/>
          <w:b/>
          <w:bCs/>
          <w:color w:val="808080"/>
        </w:rPr>
        <w:t>REFERENCES:</w:t>
      </w:r>
    </w:p>
    <w:p>
      <w:pPr>
        <w:pStyle w:val="style48"/>
        <w:spacing w:after="28" w:before="28"/>
      </w:pPr>
      <w:r>
        <w:rPr>
          <w:rFonts w:cs="Calibri"/>
          <w:b/>
          <w:bCs/>
          <w:color w:val="808080"/>
        </w:rPr>
        <w:t>Enter text here.</w:t>
      </w:r>
    </w:p>
    <w:p>
      <w:pPr>
        <w:pStyle w:val="style48"/>
        <w:spacing w:after="28" w:before="28"/>
      </w:pPr>
      <w:r>
        <w:rPr/>
      </w:r>
    </w:p>
    <w:sectPr>
      <w:type w:val="nextPage"/>
      <w:pgSz w:h="15840" w:w="12240"/>
      <w:pgMar w:bottom="892" w:footer="0" w:gutter="0" w:header="0" w:left="1440" w:right="1440" w:top="720"/>
      <w:lnNumType w:countBy="1" w:distance="283" w:restart="continuous"/>
      <w:pgNumType w:fmt="decimal"/>
      <w:formProt w:val="false"/>
      <w:textDirection w:val="lrTb"/>
      <w:docGrid w:charSpace="0"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0"/>
    </w:pPr>
    <w:r>
      <w:rPr/>
      <w:tab/>
      <w:tab/>
      <w:tab/>
      <w:tab/>
      <w:tab/>
      <w:tab/>
      <w:tab/>
      <w:tab/>
    </w:r>
  </w:p>
</w:ftr>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bering>
</file>

<file path=word/styles.xml><?xml version="1.0" encoding="utf-8"?>
<w:styles xmlns:w="http://schemas.openxmlformats.org/wordprocessingml/2006/main">
  <w:style w:styleId="style0" w:type="paragraph">
    <w:name w:val="Normal"/>
    <w:next w:val="style0"/>
    <w:pPr>
      <w:widowControl w:val="false"/>
      <w:tabs>
        <w:tab w:leader="none" w:pos="720" w:val="left"/>
      </w:tabs>
      <w:suppressAutoHyphens w:val="true"/>
      <w:jc w:val="both"/>
    </w:pPr>
    <w:rPr>
      <w:rFonts w:ascii="Calibri" w:cs="Calibri" w:eastAsia="Times New Roman" w:hAnsi="Calibri"/>
      <w:color w:val="000000"/>
      <w:sz w:val="24"/>
      <w:szCs w:val="24"/>
      <w:lang w:bidi="ar-SA" w:eastAsia="en-US" w:val="en-US"/>
    </w:rPr>
  </w:style>
  <w:style w:styleId="style1" w:type="paragraph">
    <w:name w:val="Heading 1"/>
    <w:basedOn w:val="style0"/>
    <w:next w:val="style44"/>
    <w:pPr>
      <w:keepNext/>
      <w:numPr>
        <w:ilvl w:val="0"/>
        <w:numId w:val="1"/>
      </w:numPr>
      <w:spacing w:after="60" w:before="240"/>
      <w:outlineLvl w:val="0"/>
    </w:pPr>
    <w:rPr>
      <w:rFonts w:cs="Times New Roman"/>
      <w:b/>
      <w:bCs/>
      <w:sz w:val="28"/>
      <w:szCs w:val="32"/>
    </w:rPr>
  </w:style>
  <w:style w:styleId="style2" w:type="paragraph">
    <w:name w:val="Heading 2"/>
    <w:basedOn w:val="style0"/>
    <w:next w:val="style44"/>
    <w:pPr>
      <w:keepNext/>
      <w:numPr>
        <w:ilvl w:val="1"/>
        <w:numId w:val="1"/>
      </w:numPr>
      <w:outlineLvl w:val="1"/>
    </w:pPr>
    <w:rPr>
      <w:rFonts w:cs="Times New Roman"/>
      <w:b/>
      <w:bCs/>
      <w:iCs/>
      <w:szCs w:val="28"/>
    </w:rPr>
  </w:style>
  <w:style w:styleId="style3" w:type="paragraph">
    <w:name w:val="Heading 3"/>
    <w:basedOn w:val="style0"/>
    <w:next w:val="style44"/>
    <w:pPr>
      <w:keepNext/>
      <w:keepLines/>
      <w:numPr>
        <w:ilvl w:val="2"/>
        <w:numId w:val="1"/>
      </w:numPr>
      <w:spacing w:after="0" w:before="200"/>
      <w:outlineLvl w:val="2"/>
    </w:pPr>
    <w:rPr>
      <w:rFonts w:ascii="Cambria" w:cs="" w:hAnsi="Cambria"/>
      <w:b/>
      <w:bCs/>
      <w:color w:val="4F81BD"/>
    </w:rPr>
  </w:style>
  <w:style w:styleId="style15" w:type="character">
    <w:name w:val="Default Paragraph Font"/>
    <w:next w:val="style15"/>
    <w:rPr/>
  </w:style>
  <w:style w:styleId="style16" w:type="character">
    <w:name w:val="Internet Link"/>
    <w:next w:val="style16"/>
    <w:rPr>
      <w:color w:val="0000FF"/>
      <w:u w:val="single"/>
      <w:lang w:bidi="en-US" w:eastAsia="en-US" w:val="en-US"/>
    </w:rPr>
  </w:style>
  <w:style w:styleId="style17" w:type="character">
    <w:name w:val="Header Char"/>
    <w:next w:val="style17"/>
    <w:rPr>
      <w:sz w:val="24"/>
      <w:szCs w:val="24"/>
    </w:rPr>
  </w:style>
  <w:style w:styleId="style18" w:type="character">
    <w:name w:val="Footer Char"/>
    <w:next w:val="style18"/>
    <w:rPr>
      <w:sz w:val="24"/>
      <w:szCs w:val="24"/>
    </w:rPr>
  </w:style>
  <w:style w:styleId="style19" w:type="character">
    <w:name w:val="annotation reference"/>
    <w:next w:val="style19"/>
    <w:rPr>
      <w:sz w:val="18"/>
      <w:szCs w:val="18"/>
    </w:rPr>
  </w:style>
  <w:style w:styleId="style20" w:type="character">
    <w:name w:val="Comment Text Char"/>
    <w:next w:val="style20"/>
    <w:rPr>
      <w:sz w:val="24"/>
      <w:szCs w:val="24"/>
      <w:lang w:val="en-US"/>
    </w:rPr>
  </w:style>
  <w:style w:styleId="style21" w:type="character">
    <w:name w:val="Comment Subject Char"/>
    <w:next w:val="style21"/>
    <w:rPr>
      <w:b/>
      <w:bCs/>
      <w:sz w:val="24"/>
      <w:szCs w:val="24"/>
      <w:lang w:val="en-US"/>
    </w:rPr>
  </w:style>
  <w:style w:styleId="style22" w:type="character">
    <w:name w:val="Balloon Text Char"/>
    <w:next w:val="style22"/>
    <w:rPr>
      <w:rFonts w:ascii="Lucida Grande" w:hAnsi="Lucida Grande"/>
      <w:sz w:val="18"/>
      <w:szCs w:val="18"/>
      <w:lang w:val="en-US"/>
    </w:rPr>
  </w:style>
  <w:style w:styleId="style23" w:type="character">
    <w:name w:val="page number"/>
    <w:basedOn w:val="style15"/>
    <w:next w:val="style23"/>
    <w:rPr/>
  </w:style>
  <w:style w:styleId="style24" w:type="character">
    <w:name w:val="FollowedHyperlink"/>
    <w:next w:val="style24"/>
    <w:rPr>
      <w:color w:val="800080"/>
      <w:u w:val="single"/>
    </w:rPr>
  </w:style>
  <w:style w:styleId="style25" w:type="character">
    <w:name w:val="apple-converted-space"/>
    <w:basedOn w:val="style15"/>
    <w:next w:val="style25"/>
    <w:rPr/>
  </w:style>
  <w:style w:styleId="style26" w:type="character">
    <w:name w:val="Heading 1 Char"/>
    <w:next w:val="style26"/>
    <w:rPr>
      <w:rFonts w:ascii="Calibri" w:cs="Times New Roman" w:eastAsia="Times New Roman" w:hAnsi="Calibri"/>
      <w:b/>
      <w:bCs/>
      <w:sz w:val="28"/>
      <w:szCs w:val="32"/>
    </w:rPr>
  </w:style>
  <w:style w:styleId="style27" w:type="character">
    <w:name w:val="Intense Emphasis"/>
    <w:next w:val="style27"/>
    <w:rPr>
      <w:b/>
      <w:bCs/>
      <w:i/>
      <w:iCs/>
      <w:color w:val="4F81BD"/>
    </w:rPr>
  </w:style>
  <w:style w:styleId="style28" w:type="character">
    <w:name w:val="Heading 2 Char"/>
    <w:next w:val="style28"/>
    <w:rPr>
      <w:rFonts w:ascii="Calibri" w:cs="Times New Roman" w:eastAsia="Times New Roman" w:hAnsi="Calibri"/>
      <w:b/>
      <w:bCs/>
      <w:iCs/>
      <w:sz w:val="24"/>
      <w:szCs w:val="28"/>
    </w:rPr>
  </w:style>
  <w:style w:styleId="style29" w:type="character">
    <w:name w:val="Example text Char"/>
    <w:next w:val="style29"/>
    <w:rPr>
      <w:rFonts w:ascii="Calibri" w:cs="Calibri" w:hAnsi="Calibri"/>
      <w:color w:val="7F7F7F"/>
      <w:sz w:val="24"/>
      <w:szCs w:val="24"/>
    </w:rPr>
  </w:style>
  <w:style w:styleId="style30" w:type="character">
    <w:name w:val="Heading 3 Char"/>
    <w:basedOn w:val="style15"/>
    <w:next w:val="style30"/>
    <w:rPr>
      <w:rFonts w:ascii="Cambria" w:cs="" w:hAnsi="Cambria"/>
      <w:b/>
      <w:bCs/>
      <w:color w:val="4F81BD"/>
      <w:sz w:val="24"/>
      <w:szCs w:val="24"/>
    </w:rPr>
  </w:style>
  <w:style w:styleId="style31" w:type="character">
    <w:name w:val="Body Text Char"/>
    <w:basedOn w:val="style15"/>
    <w:next w:val="style31"/>
    <w:rPr>
      <w:rFonts w:ascii="Calibri" w:cs="Calibri" w:eastAsia="Calibri" w:hAnsi="Calibri"/>
      <w:sz w:val="24"/>
      <w:szCs w:val="24"/>
    </w:rPr>
  </w:style>
  <w:style w:styleId="style32" w:type="character">
    <w:name w:val="Strong Emphasis"/>
    <w:basedOn w:val="style15"/>
    <w:next w:val="style32"/>
    <w:rPr>
      <w:b/>
      <w:bCs/>
    </w:rPr>
  </w:style>
  <w:style w:styleId="style33" w:type="character">
    <w:name w:val="Emphasis"/>
    <w:basedOn w:val="style15"/>
    <w:next w:val="style33"/>
    <w:rPr>
      <w:i/>
      <w:iCs/>
    </w:rPr>
  </w:style>
  <w:style w:styleId="style34" w:type="character">
    <w:name w:val="line number"/>
    <w:basedOn w:val="style15"/>
    <w:next w:val="style34"/>
    <w:rPr/>
  </w:style>
  <w:style w:styleId="style35" w:type="character">
    <w:name w:val="Unresolved Mention"/>
    <w:basedOn w:val="style15"/>
    <w:next w:val="style35"/>
    <w:rPr>
      <w:color w:val="808080"/>
      <w:shd w:fill="E6E6E6" w:val="clear"/>
    </w:rPr>
  </w:style>
  <w:style w:styleId="style36" w:type="character">
    <w:name w:val="ListLabel 1"/>
    <w:next w:val="style36"/>
    <w:rPr>
      <w:rFonts w:cs="Courier New"/>
    </w:rPr>
  </w:style>
  <w:style w:styleId="style37" w:type="character">
    <w:name w:val="ListLabel 2"/>
    <w:next w:val="style37"/>
    <w:rPr>
      <w:rFonts w:cs="Symbol" w:eastAsia="Symbol"/>
      <w:w w:val="100"/>
      <w:sz w:val="24"/>
      <w:szCs w:val="24"/>
    </w:rPr>
  </w:style>
  <w:style w:styleId="style38" w:type="character">
    <w:name w:val="ListLabel 3"/>
    <w:next w:val="style38"/>
    <w:rPr>
      <w:rFonts w:cs="Courier New" w:eastAsia="Courier New"/>
      <w:w w:val="99"/>
    </w:rPr>
  </w:style>
  <w:style w:styleId="style39" w:type="character">
    <w:name w:val="ListLabel 4"/>
    <w:next w:val="style39"/>
    <w:rPr>
      <w:b/>
    </w:rPr>
  </w:style>
  <w:style w:styleId="style40" w:type="character">
    <w:name w:val="ListLabel 5"/>
    <w:next w:val="style40"/>
    <w:rPr>
      <w:b/>
      <w:i w:val="false"/>
    </w:rPr>
  </w:style>
  <w:style w:styleId="style41" w:type="character">
    <w:name w:val="Bullets"/>
    <w:next w:val="style41"/>
    <w:rPr>
      <w:rFonts w:ascii="OpenSymbol" w:cs="OpenSymbol" w:eastAsia="OpenSymbol" w:hAnsi="OpenSymbol"/>
    </w:rPr>
  </w:style>
  <w:style w:styleId="style42" w:type="character">
    <w:name w:val="Line numbering"/>
    <w:next w:val="style42"/>
    <w:rPr/>
  </w:style>
  <w:style w:styleId="style43" w:type="paragraph">
    <w:name w:val="Heading"/>
    <w:basedOn w:val="style0"/>
    <w:next w:val="style44"/>
    <w:pPr>
      <w:keepNext/>
      <w:spacing w:after="120" w:before="240"/>
    </w:pPr>
    <w:rPr>
      <w:rFonts w:ascii="Arial" w:cs="Lohit Hindi" w:eastAsia="Droid Sans Fallback" w:hAnsi="Arial"/>
      <w:sz w:val="28"/>
      <w:szCs w:val="28"/>
    </w:rPr>
  </w:style>
  <w:style w:styleId="style44" w:type="paragraph">
    <w:name w:val="Text body"/>
    <w:basedOn w:val="style0"/>
    <w:next w:val="style44"/>
    <w:pPr>
      <w:jc w:val="left"/>
    </w:pPr>
    <w:rPr>
      <w:rFonts w:eastAsia="Calibri"/>
      <w:color w:val="00000A"/>
    </w:rPr>
  </w:style>
  <w:style w:styleId="style45" w:type="paragraph">
    <w:name w:val="List"/>
    <w:basedOn w:val="style44"/>
    <w:next w:val="style45"/>
    <w:pPr/>
    <w:rPr>
      <w:rFonts w:cs="Lohit Hindi"/>
    </w:rPr>
  </w:style>
  <w:style w:styleId="style46" w:type="paragraph">
    <w:name w:val="Caption"/>
    <w:basedOn w:val="style0"/>
    <w:next w:val="style46"/>
    <w:pPr>
      <w:suppressLineNumbers/>
      <w:spacing w:after="120" w:before="120"/>
    </w:pPr>
    <w:rPr>
      <w:rFonts w:cs="Lohit Hindi"/>
      <w:i/>
      <w:iCs/>
      <w:sz w:val="24"/>
      <w:szCs w:val="24"/>
    </w:rPr>
  </w:style>
  <w:style w:styleId="style47" w:type="paragraph">
    <w:name w:val="Index"/>
    <w:basedOn w:val="style0"/>
    <w:next w:val="style47"/>
    <w:pPr>
      <w:suppressLineNumbers/>
    </w:pPr>
    <w:rPr>
      <w:rFonts w:cs="Lohit Hindi"/>
    </w:rPr>
  </w:style>
  <w:style w:styleId="style48" w:type="paragraph">
    <w:name w:val="Normal (Web)"/>
    <w:basedOn w:val="style0"/>
    <w:next w:val="style48"/>
    <w:pPr>
      <w:spacing w:after="28" w:before="28"/>
    </w:pPr>
    <w:rPr/>
  </w:style>
  <w:style w:styleId="style49" w:type="paragraph">
    <w:name w:val="Header"/>
    <w:basedOn w:val="style0"/>
    <w:next w:val="style49"/>
    <w:pPr>
      <w:suppressLineNumbers/>
      <w:tabs>
        <w:tab w:leader="none" w:pos="4680" w:val="center"/>
        <w:tab w:leader="none" w:pos="9360" w:val="right"/>
      </w:tabs>
    </w:pPr>
    <w:rPr/>
  </w:style>
  <w:style w:styleId="style50" w:type="paragraph">
    <w:name w:val="Footer"/>
    <w:basedOn w:val="style0"/>
    <w:next w:val="style50"/>
    <w:pPr>
      <w:suppressLineNumbers/>
      <w:tabs>
        <w:tab w:leader="none" w:pos="4680" w:val="center"/>
        <w:tab w:leader="none" w:pos="9360" w:val="right"/>
      </w:tabs>
    </w:pPr>
    <w:rPr/>
  </w:style>
  <w:style w:styleId="style51" w:type="paragraph">
    <w:name w:val="annotation text"/>
    <w:basedOn w:val="style0"/>
    <w:next w:val="style51"/>
    <w:pPr/>
    <w:rPr/>
  </w:style>
  <w:style w:styleId="style52" w:type="paragraph">
    <w:name w:val="annotation subject"/>
    <w:basedOn w:val="style51"/>
    <w:next w:val="style52"/>
    <w:pPr/>
    <w:rPr>
      <w:b/>
      <w:bCs/>
      <w:sz w:val="20"/>
      <w:szCs w:val="20"/>
    </w:rPr>
  </w:style>
  <w:style w:styleId="style53" w:type="paragraph">
    <w:name w:val="Balloon Text"/>
    <w:basedOn w:val="style0"/>
    <w:next w:val="style53"/>
    <w:pPr/>
    <w:rPr>
      <w:rFonts w:ascii="Lucida Grande" w:hAnsi="Lucida Grande"/>
      <w:sz w:val="18"/>
      <w:szCs w:val="18"/>
    </w:rPr>
  </w:style>
  <w:style w:styleId="style54" w:type="paragraph">
    <w:name w:val="Example text"/>
    <w:basedOn w:val="style0"/>
    <w:next w:val="style54"/>
    <w:pPr>
      <w:spacing w:after="240" w:before="0"/>
    </w:pPr>
    <w:rPr>
      <w:color w:val="7F7F7F"/>
    </w:rPr>
  </w:style>
  <w:style w:styleId="style55" w:type="paragraph">
    <w:name w:val="List Paragraph"/>
    <w:basedOn w:val="style0"/>
    <w:next w:val="style55"/>
    <w:pPr>
      <w:ind w:hanging="0" w:left="720" w:right="0"/>
    </w:pPr>
    <w:rPr/>
  </w:style>
  <w:style w:styleId="style56" w:type="paragraph">
    <w:name w:val="Revision"/>
    <w:next w:val="style56"/>
    <w:pPr>
      <w:widowControl/>
      <w:tabs>
        <w:tab w:leader="none" w:pos="720" w:val="left"/>
      </w:tabs>
      <w:suppressAutoHyphens w:val="true"/>
    </w:pPr>
    <w:rPr>
      <w:rFonts w:ascii="Calibri" w:cs="Calibri" w:eastAsia="Times New Roman" w:hAnsi="Calibri"/>
      <w:color w:val="000000"/>
      <w:sz w:val="24"/>
      <w:szCs w:val="24"/>
      <w:lang w:bidi="ar-SA" w:eastAsia="en-US" w:val="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LibreOffice/3.5$Linux_x86 LibreOffice_project/350m1$Build-2</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2018-11-20T20:22:00.00Z</dcterms:created>
  <dcterms:modified xsi:type="dcterms:W3CDTF">2018-11-20T20:22:00.00Z</dcterms:modified>
  <cp:revision>1</cp:revision>
</cp:coreProperties>
</file>