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r>
        <w:rPr>
          <w:rFonts w:ascii="Arial" w:hAnsi="Arial" w:cs="Arial" w:eastAsia="Arial"/>
          <w:color w:val="auto"/>
          <w:spacing w:val="0"/>
          <w:position w:val="0"/>
          <w:sz w:val="22"/>
          <w:shd w:fill="auto" w:val="clear"/>
        </w:rPr>
        <w:t xml:space="preserve">Bacterial Growth Curves and Their Interpretation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Growth curves provide valuable information on bacterial growth kinetics and cell physiology. They allow us to determine how bacteria respond in variable growth conditions as well as to define optimal growth parameters for a given bacterium. An archetypal growth curve progresses through four stages of growth: lag, exponential, stationary, and death (1).</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Bacterial growth curve. Bacteria grown in batch culture progress through four phases of growth: lag, exponential, stationary, and death. </w:t>
      </w:r>
      <w:r>
        <w:rPr>
          <w:rFonts w:ascii="Arial" w:hAnsi="Arial" w:cs="Arial" w:eastAsia="Arial"/>
          <w:i/>
          <w:color w:val="auto"/>
          <w:spacing w:val="0"/>
          <w:position w:val="0"/>
          <w:sz w:val="22"/>
          <w:shd w:fill="auto" w:val="clear"/>
        </w:rPr>
        <w:t xml:space="preserve">Lag</w:t>
      </w:r>
      <w:r>
        <w:rPr>
          <w:rFonts w:ascii="Arial" w:hAnsi="Arial" w:cs="Arial" w:eastAsia="Arial"/>
          <w:color w:val="auto"/>
          <w:spacing w:val="0"/>
          <w:position w:val="0"/>
          <w:sz w:val="22"/>
          <w:shd w:fill="auto" w:val="clear"/>
        </w:rPr>
        <w:t xml:space="preserve"> phase is the period of time it takes for the bacteria to reach a physiological state capable of rapid cell growth and division. </w:t>
      </w:r>
      <w:r>
        <w:rPr>
          <w:rFonts w:ascii="Arial" w:hAnsi="Arial" w:cs="Arial" w:eastAsia="Arial"/>
          <w:i/>
          <w:color w:val="auto"/>
          <w:spacing w:val="0"/>
          <w:position w:val="0"/>
          <w:sz w:val="22"/>
          <w:shd w:fill="auto" w:val="clear"/>
        </w:rPr>
        <w:t xml:space="preserve">Exponential</w:t>
      </w:r>
      <w:r>
        <w:rPr>
          <w:rFonts w:ascii="Arial" w:hAnsi="Arial" w:cs="Arial" w:eastAsia="Arial"/>
          <w:color w:val="auto"/>
          <w:spacing w:val="0"/>
          <w:position w:val="0"/>
          <w:sz w:val="22"/>
          <w:shd w:fill="auto" w:val="clear"/>
        </w:rPr>
        <w:t xml:space="preserve"> phase is the stage of fastest cell growth and division during which DNA replication, RNA transcription, and protein production all occur at a constant, rapid rate. </w:t>
      </w:r>
      <w:r>
        <w:rPr>
          <w:rFonts w:ascii="Arial" w:hAnsi="Arial" w:cs="Arial" w:eastAsia="Arial"/>
          <w:i/>
          <w:color w:val="auto"/>
          <w:spacing w:val="0"/>
          <w:position w:val="0"/>
          <w:sz w:val="22"/>
          <w:shd w:fill="auto" w:val="clear"/>
        </w:rPr>
        <w:t xml:space="preserve">Stationary</w:t>
      </w:r>
      <w:r>
        <w:rPr>
          <w:rFonts w:ascii="Arial" w:hAnsi="Arial" w:cs="Arial" w:eastAsia="Arial"/>
          <w:color w:val="auto"/>
          <w:spacing w:val="0"/>
          <w:position w:val="0"/>
          <w:sz w:val="22"/>
          <w:shd w:fill="auto" w:val="clear"/>
        </w:rPr>
        <w:t xml:space="preserve"> phase is characterized by a slowing down and plateauing of bacterial growth due to nutrient limitation and/or toxic intermediate accumulation. </w:t>
      </w:r>
      <w:r>
        <w:rPr>
          <w:rFonts w:ascii="Arial" w:hAnsi="Arial" w:cs="Arial" w:eastAsia="Arial"/>
          <w:i/>
          <w:color w:val="auto"/>
          <w:spacing w:val="0"/>
          <w:position w:val="0"/>
          <w:sz w:val="22"/>
          <w:shd w:fill="auto" w:val="clear"/>
        </w:rPr>
        <w:t xml:space="preserve">Death</w:t>
      </w:r>
      <w:r>
        <w:rPr>
          <w:rFonts w:ascii="Arial" w:hAnsi="Arial" w:cs="Arial" w:eastAsia="Arial"/>
          <w:color w:val="auto"/>
          <w:spacing w:val="0"/>
          <w:position w:val="0"/>
          <w:sz w:val="22"/>
          <w:shd w:fill="auto" w:val="clear"/>
        </w:rPr>
        <w:t xml:space="preserve"> phase is the stage during which cell lysis occurs as a result of severe nutrient limitation.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Lag phase is the period of time it takes for the bacteria to reach a physiological state capable of rapid cell growth and division. This lag occurs because it takes time for bacteria to adjust to their new environment. Once the necessary cellular components are generated in lag phase, bacteria enter the exponential phase of growth where DNA replication, RNA transcription, and protein production all occur at a constant, rapid rate (2). The rate of rapid cell growth and division during the exponential phase is calculated as the generation time, or doubling time, and is the fastest rate at which the bacteria can replicate under the given conditions (1). The doubling time can be used to compare different growth conditions to determine which is more favorable for bacterial growth. The exponential growth phase is the most reproducible growth condition as bacterial cell physiology is consistent throughout the entire population (3). Stationary phase follows the exponential phase where cell growth plateaus. Stationary phase is brought on due to nutrient depletion and/or accumulation of toxic intermediates. Bacterial cells continue to survive in this stage, although the rate of replication and cell division is drastically reduced. The final phase is death, where severe nutrient depletion leads to the lysing of cells. Features of the growth curve that provide the most information include the duration of lag phase, the doubling time, and the maximum cell density reached.</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Quantification of bacteria in batch culture can be determined using both colony forming units and optical density measurements. Enumeration by colony forming units (CFU) provides a direct measurement of bacterial cell counts. The standard unit of measure for CFU is the number of culturable bacteria present per 1 mL of culture (CFU/mL) determined by serial dilution and spread plating techniques. For each timepoint, a 1:10 dilution series of the batch culture is performed and 100 &amp;#181;l of each dilution is spread plated using a cell spreader.</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Serial dilution plating schematic. General flowthrough for dilution plating from batch culture. The batch culture is serially diluted 1:10 by transferring 1 mL  of the previous dilution into the subsequent tube containing 9ml PBS. From each dilution tube, 100 &amp;#181;l is spread plated using a plate spreader which is an additional dilution of 1:10 as it is 1/10</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the volume of 1 mL volume when calculating CFU/mL. Plates are incubated and enumerated once clonal colonies grow on the plates.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plates are then incubated overnight and clonal colonies enumerated. The dilution plate which grew 30-300 colonies is used to calculate the CFU/mL for the given timepoint (4, 5). Stochastic variation in colony counts under 30 are subject to greater error in the calculation of CFU/mL and counting colonies greater than 300 can be underestimated due to colony crowding and overlapping. Using the dilution factor for the given plate, the CFU of the batch culture can be calculated for each timepoint.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Optical density gives an instant approximation of bacterial cell count measured using a spectrophotometer. The optical density is a measure of absorbance of light particles that pass through 1cm of culture and detected by a photodiode sensor (6). The optical density of a culture is measured in relation to a media blank and increases as bacterial density increases. For bacterial cells, a wavelength of 600 nm (OD600) is typically used when measuring optical density (4). By generating a standard curve relating colony forming units and optical density, the optical density measurement can be used to readily approximate the bacterial cell count of a batch culture. However, this relationship begins to deteriorate as early as 0.3 OD600 as cells begins to change shape and accumulate extracellular products in the media, influencing the optical density reading as it relates to CFU (7). This error becomes more pronounced during stationary and death phases.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Here, </w:t>
      </w:r>
      <w:r>
        <w:rPr>
          <w:rFonts w:ascii="Arial" w:hAnsi="Arial" w:cs="Arial" w:eastAsia="Arial"/>
          <w:i/>
          <w:color w:val="auto"/>
          <w:spacing w:val="0"/>
          <w:position w:val="0"/>
          <w:sz w:val="22"/>
          <w:shd w:fill="auto" w:val="clear"/>
        </w:rPr>
        <w:t xml:space="preserve">Escherichia coli</w:t>
      </w:r>
      <w:r>
        <w:rPr>
          <w:rFonts w:ascii="Arial" w:hAnsi="Arial" w:cs="Arial" w:eastAsia="Arial"/>
          <w:color w:val="auto"/>
          <w:spacing w:val="0"/>
          <w:position w:val="0"/>
          <w:sz w:val="22"/>
          <w:shd w:fill="auto" w:val="clear"/>
        </w:rPr>
        <w:t xml:space="preserve"> is grown in Luria-Bertani (LB) broth at 37&amp;#176;C over the course of 30 hours (7). Both CFU/mL and optical density growth curves have been generated as well as the standard curve relating optical density to CFU. The doubling time has also been determined to be 15 minutes and 19 seconds. From this data, the capacity for growth in LB for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can be visualized and be used for comparison between different media or bacteria.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Escherichia coli </w:t>
      </w:r>
      <w:r>
        <w:rPr>
          <w:rFonts w:ascii="Arial" w:hAnsi="Arial" w:cs="Arial" w:eastAsia="Arial"/>
          <w:color w:val="auto"/>
          <w:spacing w:val="0"/>
          <w:position w:val="0"/>
          <w:sz w:val="22"/>
          <w:shd w:fill="auto" w:val="clear"/>
        </w:rPr>
        <w:t xml:space="preserve">optical density at 600 nm wavelength (OD600) growth curve. Optical density values were taken directly from the spectrophotometer after blanking with sterile LB media. OD600 values greater than 1.0 were diluted 1:10 by combining 100 &amp;#181;l culture with 900 &amp;#181;l fresh LB, again measured, and then multiplied by 10 to obtain the OD600 value. This step is taken as the accuracy in measurement of the spectrophotometer is reduced at high cell density. From the curve, lag phase extends to around 1h of growth, transitions to exponential phase from 2h to 7h, then begins to plateau, entering stationary phase. Death phase is not a stark transition, however, as optical density gradually begins to decline after 15h.</w:t>
      </w:r>
    </w:p>
    <w:p>
      <w:pPr>
        <w:spacing w:before="0" w:after="0" w:line="240"/>
        <w:ind w:right="0" w:left="0" w:firstLine="0"/>
        <w:jc w:val="both"/>
        <w:rPr>
          <w:rFonts w:ascii="Arial" w:hAnsi="Arial" w:cs="Arial" w:eastAsia="Arial"/>
          <w:b/>
          <w:color w:val="auto"/>
          <w:spacing w:val="0"/>
          <w:position w:val="0"/>
          <w:sz w:val="22"/>
          <w:shd w:fill="00FFFF"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Escherichia coli </w:t>
      </w:r>
      <w:r>
        <w:rPr>
          <w:rFonts w:ascii="Arial" w:hAnsi="Arial" w:cs="Arial" w:eastAsia="Arial"/>
          <w:color w:val="auto"/>
          <w:spacing w:val="0"/>
          <w:position w:val="0"/>
          <w:sz w:val="22"/>
          <w:shd w:fill="auto" w:val="clear"/>
        </w:rPr>
        <w:t xml:space="preserve">colony forming unit per milliliter (CFU/mL) growth curve. CFU/mL values for each timepoint were calculated from the dilution plate that contained 30-300 colonies. From the curve, lag phase extends out to around 2h of growth, transitions to exponential phase from 2h to 7h, then begins to plateau, entering stationary phase. Death phase is not a stark transition, however, as CFU/mL gradually begins to decline after 15h from a peak of 2 x 10</w:t>
      </w:r>
      <w:r>
        <w:rPr>
          <w:rFonts w:ascii="Arial" w:hAnsi="Arial" w:cs="Arial" w:eastAsia="Arial"/>
          <w:color w:val="auto"/>
          <w:spacing w:val="0"/>
          <w:position w:val="0"/>
          <w:sz w:val="22"/>
          <w:shd w:fill="auto" w:val="clear"/>
          <w:vertAlign w:val="superscript"/>
        </w:rPr>
        <w:t xml:space="preserve">9</w:t>
      </w:r>
      <w:r>
        <w:rPr>
          <w:rFonts w:ascii="Arial" w:hAnsi="Arial" w:cs="Arial" w:eastAsia="Arial"/>
          <w:color w:val="auto"/>
          <w:spacing w:val="0"/>
          <w:position w:val="0"/>
          <w:sz w:val="22"/>
          <w:shd w:fill="auto" w:val="clear"/>
        </w:rPr>
        <w:t xml:space="preserve"> to approximately 5 x 10</w:t>
      </w:r>
      <w:r>
        <w:rPr>
          <w:rFonts w:ascii="Arial" w:hAnsi="Arial" w:cs="Arial" w:eastAsia="Arial"/>
          <w:color w:val="auto"/>
          <w:spacing w:val="0"/>
          <w:position w:val="0"/>
          <w:sz w:val="22"/>
          <w:shd w:fill="auto" w:val="clear"/>
          <w:vertAlign w:val="superscript"/>
        </w:rPr>
        <w:t xml:space="preserve">8</w:t>
      </w:r>
      <w:r>
        <w:rPr>
          <w:rFonts w:ascii="Arial" w:hAnsi="Arial" w:cs="Arial" w:eastAsia="Arial"/>
          <w:color w:val="auto"/>
          <w:spacing w:val="0"/>
          <w:position w:val="0"/>
          <w:sz w:val="22"/>
          <w:shd w:fill="auto" w:val="clear"/>
        </w:rPr>
        <w:t xml:space="preserve"> at 30 hours.</w:t>
      </w:r>
    </w:p>
    <w:p>
      <w:pPr>
        <w:spacing w:before="0" w:after="0" w:line="240"/>
        <w:ind w:right="0" w:left="0" w:firstLine="0"/>
        <w:jc w:val="both"/>
        <w:rPr>
          <w:rFonts w:ascii="Arial" w:hAnsi="Arial" w:cs="Arial" w:eastAsia="Arial"/>
          <w:b/>
          <w:color w:val="auto"/>
          <w:spacing w:val="0"/>
          <w:position w:val="0"/>
          <w:sz w:val="22"/>
          <w:shd w:fill="00FFFF"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5.</w:t>
      </w:r>
      <w:r>
        <w:rPr>
          <w:rFonts w:ascii="Arial" w:hAnsi="Arial" w:cs="Arial" w:eastAsia="Arial"/>
          <w:color w:val="auto"/>
          <w:spacing w:val="0"/>
          <w:position w:val="0"/>
          <w:sz w:val="22"/>
          <w:shd w:fill="auto" w:val="clear"/>
        </w:rPr>
        <w:t xml:space="preserve"> Standardization curve for CFU/mL versus OD600. A linear regression can be used to relate these units so that optical density may be used to approximate bacterial cell density. Optical density can be used to provide and instant approximation of the CFU/mL of the batch culture. Here, only the first six timepoints are plotted as the relationship between OD600 and CFU/mL is less accurate beyond 1.0 OD600 as cell shape and extracellular products begin to accumulate as the bacteria enter stationary phase, which occurs shortly after reaching 1.0 OD600. Changes in cell shape and extracellular products in the media influence the optical density reading and therefore the relationship between optical density and the number of bacteria in the culture is also impacted.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r>
      <w:r>
        <w:rPr>
          <w:rFonts w:ascii="Arial" w:hAnsi="Arial" w:cs="Arial" w:eastAsia="Arial"/>
          <w:b/>
          <w:color w:val="auto"/>
          <w:spacing w:val="0"/>
          <w:position w:val="0"/>
          <w:sz w:val="22"/>
          <w:shd w:fill="auto" w:val="clear"/>
        </w:rPr>
        <w:t xml:space="preserve">Set-up</w:t>
      </w:r>
    </w:p>
    <w:p>
      <w:pPr>
        <w:spacing w:before="0" w:after="0" w:line="240"/>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Required laboratory materials: liquid media, solidified agar media, Erlenmeyer flasks, 15 mL test tubes, phosphate buffered saline (PBS), bacterial cell spreader, 70% ethanol, and a spectrophotometer. All solutions and glassware must be sterilized prior to use. </w:t>
      </w:r>
    </w:p>
    <w:p>
      <w:pPr>
        <w:spacing w:before="0" w:after="0" w:line="240"/>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Prepare the work station by sterilizing with 70% ethanol. Work near a Bunsen burner to prevent contamination of media.</w:t>
      </w:r>
    </w:p>
    <w:p>
      <w:pPr>
        <w:spacing w:before="0" w:after="0" w:line="240"/>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When working with bacteria, proper personal protective equipment and aseptic technique should be used. A lab coat and gloves are required when working with bacterial cultures.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Recipes for buffers, solutions, and reagents</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1.4.1.</w:t>
        <w:tab/>
        <w:t xml:space="preserve">Phosphate buffered saline (PBS) (8).</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1.4.2.</w:t>
        <w:tab/>
        <w:t xml:space="preserve">Luria-Bertani Broth (LB) (9).</w:t>
      </w:r>
    </w:p>
    <w:p>
      <w:pPr>
        <w:spacing w:before="0" w:after="0" w:line="240"/>
        <w:ind w:right="0" w:left="1224" w:hanging="72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w:t>
        <w:tab/>
      </w:r>
      <w:r>
        <w:rPr>
          <w:rFonts w:ascii="Arial" w:hAnsi="Arial" w:cs="Arial" w:eastAsia="Arial"/>
          <w:b/>
          <w:color w:val="auto"/>
          <w:spacing w:val="0"/>
          <w:position w:val="0"/>
          <w:sz w:val="22"/>
          <w:shd w:fill="auto" w:val="clear"/>
        </w:rPr>
        <w:t xml:space="preserve">Delete Protocol</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Preparation of Media</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t xml:space="preserve">Identify the growth media with which to grow the bacteria and prepare both liquid broth and solid agar (1.5% w/v agar) media in separate autoclavable bottles. Here, LB broth and LB agar were prepared for the growth of </w:t>
      </w:r>
      <w:r>
        <w:rPr>
          <w:rFonts w:ascii="Arial" w:hAnsi="Arial" w:cs="Arial" w:eastAsia="Arial"/>
          <w:i/>
          <w:color w:val="auto"/>
          <w:spacing w:val="0"/>
          <w:position w:val="0"/>
          <w:sz w:val="22"/>
          <w:shd w:fill="auto" w:val="clear"/>
        </w:rPr>
        <w:t xml:space="preserve">Escherichia coli</w:t>
      </w:r>
      <w:r>
        <w:rPr>
          <w:rFonts w:ascii="Arial" w:hAnsi="Arial" w:cs="Arial" w:eastAsia="Arial"/>
          <w:color w:val="auto"/>
          <w:spacing w:val="0"/>
          <w:position w:val="0"/>
          <w:sz w:val="22"/>
          <w:shd w:fill="auto" w:val="clear"/>
        </w:rPr>
        <w:t xml:space="preserve">.</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Sterilize the media with a semi-tightened cap in an autoclave set to 121 &amp;#176;C for 35 min.</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For agar media, after autoclaving, place in a water bath set to 50 &amp;#176;C for 30 minutes to cool. Once cooled, pour 20-25 mL agar media into 100x15mm circular Petri dishes. Allow plates to set 24 hours at room temperature before use.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Initial Preparation of Bacteria</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t xml:space="preserve">From frozen stock, streak bacteria for isolation on selected media agar to obtain single colony isolates. Incubate in growth conditions permissible for the chosen bacteria. Here,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is streaked on LB agar and is incubated at 37 &amp;#176;C overnight (16-18h).</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t xml:space="preserve">Using a sterile inoculation loop, select a single colony from the streak plate and inoculate 4 mL liquid media in a 15 mL test tube and grow in conditions permissible for the chosen bacteria. Here, </w:t>
      </w:r>
      <w:r>
        <w:rPr>
          <w:rFonts w:ascii="Arial" w:hAnsi="Arial" w:cs="Arial" w:eastAsia="Arial"/>
          <w:i/>
          <w:color w:val="auto"/>
          <w:spacing w:val="0"/>
          <w:position w:val="0"/>
          <w:sz w:val="22"/>
          <w:shd w:fill="auto" w:val="clear"/>
        </w:rPr>
        <w:t xml:space="preserve">E. coli </w:t>
      </w:r>
      <w:r>
        <w:rPr>
          <w:rFonts w:ascii="Arial" w:hAnsi="Arial" w:cs="Arial" w:eastAsia="Arial"/>
          <w:color w:val="auto"/>
          <w:spacing w:val="0"/>
          <w:position w:val="0"/>
          <w:sz w:val="22"/>
          <w:shd w:fill="auto" w:val="clear"/>
        </w:rPr>
        <w:t xml:space="preserve">is grown at 37 &amp;#176;C shaking at 210 rpm overnight (16-18h).</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Growth Curve Setup</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t xml:space="preserve">Growth flask preparation</w:t>
      </w:r>
    </w:p>
    <w:p>
      <w:pPr>
        <w:spacing w:before="0" w:after="0" w:line="240"/>
        <w:ind w:right="0" w:left="216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2.3.1.1.</w:t>
        <w:tab/>
        <w:t xml:space="preserve">Autoclave appropriately sized Erlenmeyer flasks. Typically, a 1:5 ratio of media to total flask volume is used. Here, 100 mL LB media is used in a 500 mL flask.</w:t>
      </w:r>
    </w:p>
    <w:p>
      <w:pPr>
        <w:spacing w:before="0" w:after="0" w:line="240"/>
        <w:ind w:right="0" w:left="1728" w:hanging="64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2.3.1.2.</w:t>
        <w:tab/>
        <w:t xml:space="preserve">Using a serological pipette, transfer sterile media to the Erlenmeyer flask.</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t xml:space="preserve">Dilution series preparation</w:t>
      </w:r>
    </w:p>
    <w:p>
      <w:pPr>
        <w:spacing w:before="0" w:after="0" w:line="240"/>
        <w:ind w:right="0" w:left="216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2.3.2.1.</w:t>
        <w:tab/>
        <w:t xml:space="preserve">Label 15 mL tests tube -1, -2, -3, -4, -5, -6, -7, -8, and -9, distributing 9mL PBS into each. These numbers correspond to the dilution factor used to calculate CFU/mL. A new set of tubes is needed for each collection timepoint.</w:t>
      </w:r>
      <w:r>
        <w:rPr>
          <w:rFonts w:ascii="Arial" w:hAnsi="Arial" w:cs="Arial" w:eastAsia="Arial"/>
          <w:b/>
          <w:color w:val="auto"/>
          <w:spacing w:val="0"/>
          <w:position w:val="0"/>
          <w:sz w:val="22"/>
          <w:shd w:fill="auto" w:val="clear"/>
        </w:rPr>
        <w:t xml:space="preserve"> (Figure 2)</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2.3.3.</w:t>
        <w:tab/>
        <w:t xml:space="preserve">Agar plate preparation</w:t>
      </w:r>
    </w:p>
    <w:p>
      <w:pPr>
        <w:spacing w:before="0" w:after="0" w:line="240"/>
        <w:ind w:right="0" w:left="216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2.3.3.1.</w:t>
        <w:tab/>
        <w:t xml:space="preserve">Label plates with time of collection and dilution factor. For each timepoint there will be one plate for each dilution.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Growth Curve Protocol</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w:t>
        <w:tab/>
        <w:t xml:space="preserve">Inoculation of media</w:t>
      </w:r>
    </w:p>
    <w:p>
      <w:pPr>
        <w:spacing w:before="0" w:after="0" w:line="240"/>
        <w:ind w:right="0" w:left="216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2.4.1.1.</w:t>
        <w:tab/>
        <w:t xml:space="preserve">Using the overnight liquid culture prepared as part of step 2.2.2, inoculate the flask media with 1:1000 volume of culture. Here, 100 &amp;#181;l overnight liquid culture is added to 100 mL LB media. </w:t>
      </w:r>
    </w:p>
    <w:p>
      <w:pPr>
        <w:spacing w:before="0" w:after="0" w:line="240"/>
        <w:ind w:right="0" w:left="1728" w:hanging="64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2.4.1.2.</w:t>
        <w:tab/>
        <w:t xml:space="preserve">Swirl the media to evenly distribute the bacteria.</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w:t>
        <w:tab/>
        <w:t xml:space="preserve">Timepoint collection</w:t>
      </w:r>
    </w:p>
    <w:p>
      <w:pPr>
        <w:spacing w:before="0" w:after="0" w:line="240"/>
        <w:ind w:right="0" w:left="1728" w:hanging="64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2.4.2.1.</w:t>
        <w:tab/>
        <w:t xml:space="preserve">Growth condition setup</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2.4.2.1.1.</w:t>
        <w:tab/>
        <w:t xml:space="preserve">Place flask in experimental growth conditions chosen for the given bacteria. Timepoints should be taken frequently for fast-growing bacteria and can be taken in longer intervals for slow-growing bacteria. Here,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is grown at 37&amp;#176;C shaking at 210 revolutions per minute (rpm) with timepoints taken every 1 hour.</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2.4.2.2.</w:t>
        <w:tab/>
        <w:t xml:space="preserve">Optical density (OD600) measurement</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2.4.2.2.1.</w:t>
        <w:tab/>
        <w:t xml:space="preserve">At each timepoint, including the starting timepoint (t = 0), withdraw 1 mL of bacterial culture and dispense into a spectrophotometer cuvette.</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2.4.2.2.2.</w:t>
        <w:tab/>
        <w:t xml:space="preserve">Wipe the cuvette clean and record the optical density at 600 nm wavelength. If the optical density reading is greater than 1.0, dilute 100 &amp;#181;l of culture 1:10 with 900 &amp;#181;l fresh media, record the optical density, and multiply this value by 10 for the OD600 measurement.</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2.4.2.3.</w:t>
        <w:tab/>
        <w:t xml:space="preserve">Colony forming unit (CFU/mL) measurement</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2.4.2.3.1.</w:t>
        <w:tab/>
        <w:t xml:space="preserve">At each timepoint, withdraw 1 mL of bacterial culture and dispense into the -1 glass test tube containing 9 mL of PBS.</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2.4.2.3.2.</w:t>
        <w:tab/>
        <w:t xml:space="preserve">For the dilution series, serially transfer 1 mL from the -1 tube down all dilution tubes to the -9, vortexing after each transfer. </w:t>
      </w:r>
      <w:r>
        <w:rPr>
          <w:rFonts w:ascii="Arial" w:hAnsi="Arial" w:cs="Arial" w:eastAsia="Arial"/>
          <w:b/>
          <w:color w:val="auto"/>
          <w:spacing w:val="0"/>
          <w:position w:val="0"/>
          <w:sz w:val="22"/>
          <w:shd w:fill="auto" w:val="clear"/>
        </w:rPr>
        <w:t xml:space="preserve">(Figure 2)</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2.4.2.3.3.</w:t>
        <w:tab/>
        <w:t xml:space="preserve">For each dilution, dispense 100 &amp;#181;l of cell suspension to the correspondingly labelled solid media agar plate. </w:t>
      </w:r>
      <w:r>
        <w:rPr>
          <w:rFonts w:ascii="Arial" w:hAnsi="Arial" w:cs="Arial" w:eastAsia="Arial"/>
          <w:b/>
          <w:color w:val="auto"/>
          <w:spacing w:val="0"/>
          <w:position w:val="0"/>
          <w:sz w:val="22"/>
          <w:shd w:fill="auto" w:val="clear"/>
        </w:rPr>
        <w:t xml:space="preserve">(Figure 2)</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2.4.2.3.4.</w:t>
        <w:tab/>
        <w:t xml:space="preserve">Using a cell spreader that has been sterilized in ethanol, passed through a Bunsen burner flame, and cooled by touching the surface of the agar, spread the 100 &amp;#181;l of cell suspension until the surface of the agar plate becomes dry.</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2.4.2.3.5.</w:t>
        <w:tab/>
        <w:t xml:space="preserve">Incubate the spread plates upside-down at a temperature that supports growth of the bacteria. Here,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is incubated at 37&amp;#176;C.</w:t>
      </w:r>
    </w:p>
    <w:p>
      <w:pPr>
        <w:spacing w:before="0" w:after="0" w:line="240"/>
        <w:ind w:right="0" w:left="2520" w:hanging="10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2.4.2.3.6.</w:t>
        <w:tab/>
        <w:t xml:space="preserve">After incubation, once visible colonies arise, count the number of bacterial colonies on each plate and record these values along with their associated dilution factor for all plates at each timepoint.</w:t>
      </w:r>
    </w:p>
    <w:p>
      <w:pPr>
        <w:spacing w:before="0" w:after="0" w:line="240"/>
        <w:ind w:right="0" w:left="1224" w:hanging="72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r>
      <w:r>
        <w:rPr>
          <w:rFonts w:ascii="Arial" w:hAnsi="Arial" w:cs="Arial" w:eastAsia="Arial"/>
          <w:b/>
          <w:color w:val="auto"/>
          <w:spacing w:val="0"/>
          <w:position w:val="0"/>
          <w:sz w:val="22"/>
          <w:shd w:fill="auto" w:val="clear"/>
        </w:rPr>
        <w:t xml:space="preserve">Data Analysis and Results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Optical Density (OD600) Growth Curve Plot </w:t>
      </w:r>
    </w:p>
    <w:p>
      <w:pPr>
        <w:spacing w:before="0" w:after="0" w:line="240"/>
        <w:ind w:right="0" w:left="1224" w:hanging="50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Plot the optical density (OD600) versus time on a semi-log scale.</w:t>
      </w:r>
      <w:r>
        <w:rPr>
          <w:rFonts w:ascii="Arial" w:hAnsi="Arial" w:cs="Arial" w:eastAsia="Arial"/>
          <w:b/>
          <w:color w:val="auto"/>
          <w:spacing w:val="0"/>
          <w:position w:val="0"/>
          <w:sz w:val="22"/>
          <w:shd w:fill="auto" w:val="clear"/>
        </w:rPr>
        <w:t xml:space="preserve"> (Figure 3)</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Colony Forming Unit (CFU/mL) Growth Curve Plot </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For each timepoint, choose the dilution plate where the colony counts fell within the range of 30-300 bacteria. Multiply the colony count number by the dilution factor and then by 10 as the 100 &amp;#181;l spread is considered an additional 1:10 dilution when calculating CFU/mL.</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Plot the colony forming units versus time on a semi-log scale.</w:t>
      </w:r>
      <w:r>
        <w:rPr>
          <w:rFonts w:ascii="Arial" w:hAnsi="Arial" w:cs="Arial" w:eastAsia="Arial"/>
          <w:b/>
          <w:color w:val="auto"/>
          <w:spacing w:val="0"/>
          <w:position w:val="0"/>
          <w:sz w:val="22"/>
          <w:shd w:fill="auto" w:val="clear"/>
        </w:rPr>
        <w:t xml:space="preserve"> (Figure 4)</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Relating optical density and colony forming units </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3.3.1.</w:t>
        <w:tab/>
        <w:t xml:space="preserve">Plot the colony forming units versus optical density on a linear scale for OD600 readings less than or equal to 1.0 OD600 as the relationship between OD600 and CFU/mL is less accurate beyond 1.0 OD600. Here, the first six timepoints are plotted. </w:t>
      </w:r>
      <w:r>
        <w:rPr>
          <w:rFonts w:ascii="Arial" w:hAnsi="Arial" w:cs="Arial" w:eastAsia="Arial"/>
          <w:b/>
          <w:color w:val="auto"/>
          <w:spacing w:val="0"/>
          <w:position w:val="0"/>
          <w:sz w:val="22"/>
          <w:shd w:fill="auto" w:val="clear"/>
        </w:rPr>
        <w:t xml:space="preserve">(Figure 5)</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3.3.2.</w:t>
        <w:tab/>
        <w:t xml:space="preserve">Generate a linear regression trendline displaying the equation and R</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value.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Determining bacteria doubling time</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3.4.1.</w:t>
        <w:tab/>
        <w:t xml:space="preserve">Using the colony forming unit growth curve plot, during exponential phase, identify two points on the graph with the steepest slope between them to calculate the doubling time.</w:t>
      </w:r>
    </w:p>
    <w:p>
      <w:pPr>
        <w:spacing w:before="0" w:after="0" w:line="24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w:t>
        <w:tab/>
        <w:t xml:space="preserve">Calculating the doubling time</w:t>
      </w:r>
    </w:p>
    <w:p>
      <w:pPr>
        <w:spacing w:before="0" w:after="0" w:line="240"/>
        <w:ind w:right="0" w:left="2160" w:hanging="108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3.4.2.1.</w:t>
        <w:tab/>
      </w:r>
    </w:p>
    <w:p>
      <w:pPr>
        <w:spacing w:before="0" w:after="0" w:line="240"/>
        <w:ind w:right="0" w:left="2160" w:hanging="108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3.4.2.2.</w:t>
        <w:tab/>
        <w:t xml:space="preserve">, where </w:t>
      </w:r>
      <w:r>
        <w:rPr>
          <w:rFonts w:ascii="Arial" w:hAnsi="Arial" w:cs="Arial" w:eastAsia="Arial"/>
          <w:i/>
          <w:color w:val="auto"/>
          <w:spacing w:val="0"/>
          <w:position w:val="0"/>
          <w:sz w:val="22"/>
          <w:shd w:fill="auto" w:val="clear"/>
        </w:rPr>
        <w:t xml:space="preserve">t</w:t>
      </w:r>
      <w:r>
        <w:rPr>
          <w:rFonts w:ascii="Arial" w:hAnsi="Arial" w:cs="Arial" w:eastAsia="Arial"/>
          <w:i/>
          <w:color w:val="auto"/>
          <w:spacing w:val="0"/>
          <w:position w:val="0"/>
          <w:sz w:val="22"/>
          <w:shd w:fill="auto" w:val="clear"/>
          <w:vertAlign w:val="subscript"/>
        </w:rPr>
        <w:t xml:space="preserve">1</w:t>
      </w:r>
      <w:r>
        <w:rPr>
          <w:rFonts w:ascii="Arial" w:hAnsi="Arial" w:cs="Arial" w:eastAsia="Arial"/>
          <w:color w:val="auto"/>
          <w:spacing w:val="0"/>
          <w:position w:val="0"/>
          <w:sz w:val="22"/>
          <w:shd w:fill="auto" w:val="clear"/>
        </w:rPr>
        <w:t xml:space="preserve"> = Timepoint 1 and </w:t>
      </w:r>
      <w:r>
        <w:rPr>
          <w:rFonts w:ascii="Arial" w:hAnsi="Arial" w:cs="Arial" w:eastAsia="Arial"/>
          <w:i/>
          <w:color w:val="auto"/>
          <w:spacing w:val="0"/>
          <w:position w:val="0"/>
          <w:sz w:val="22"/>
          <w:shd w:fill="auto" w:val="clear"/>
        </w:rPr>
        <w:t xml:space="preserve">t</w:t>
      </w:r>
      <w:r>
        <w:rPr>
          <w:rFonts w:ascii="Arial" w:hAnsi="Arial" w:cs="Arial" w:eastAsia="Arial"/>
          <w:i/>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 Timepoint 2</w:t>
      </w:r>
    </w:p>
    <w:p>
      <w:pPr>
        <w:spacing w:before="0" w:after="0" w:line="240"/>
        <w:ind w:right="0" w:left="2160" w:hanging="108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3.4.2.3.</w:t>
        <w:tab/>
        <w:t xml:space="preserve">, where </w:t>
      </w:r>
      <w:r>
        <w:rPr>
          <w:rFonts w:ascii="Arial" w:hAnsi="Arial" w:cs="Arial" w:eastAsia="Arial"/>
          <w:i/>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 number of bacteria at </w:t>
      </w:r>
      <w:r>
        <w:rPr>
          <w:rFonts w:ascii="Arial" w:hAnsi="Arial" w:cs="Arial" w:eastAsia="Arial"/>
          <w:i/>
          <w:color w:val="auto"/>
          <w:spacing w:val="0"/>
          <w:position w:val="0"/>
          <w:sz w:val="22"/>
          <w:shd w:fill="auto" w:val="clear"/>
        </w:rPr>
        <w:t xml:space="preserve">t</w:t>
      </w:r>
      <w:r>
        <w:rPr>
          <w:rFonts w:ascii="Arial" w:hAnsi="Arial" w:cs="Arial" w:eastAsia="Arial"/>
          <w:i/>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 number of bacteria at </w:t>
      </w:r>
      <w:r>
        <w:rPr>
          <w:rFonts w:ascii="Arial" w:hAnsi="Arial" w:cs="Arial" w:eastAsia="Arial"/>
          <w:i/>
          <w:color w:val="auto"/>
          <w:spacing w:val="0"/>
          <w:position w:val="0"/>
          <w:sz w:val="22"/>
          <w:shd w:fill="auto" w:val="clear"/>
        </w:rPr>
        <w:t xml:space="preserve">t</w:t>
      </w:r>
      <w:r>
        <w:rPr>
          <w:rFonts w:ascii="Arial" w:hAnsi="Arial" w:cs="Arial" w:eastAsia="Arial"/>
          <w:i/>
          <w:color w:val="auto"/>
          <w:spacing w:val="0"/>
          <w:position w:val="0"/>
          <w:sz w:val="22"/>
          <w:shd w:fill="auto" w:val="clear"/>
          <w:vertAlign w:val="subscript"/>
        </w:rPr>
        <w:t xml:space="preserve">1</w:t>
      </w:r>
      <w:r>
        <w:rPr>
          <w:rFonts w:ascii="Arial" w:hAnsi="Arial" w:cs="Arial" w:eastAsia="Arial"/>
          <w:color w:val="auto"/>
          <w:spacing w:val="0"/>
          <w:position w:val="0"/>
          <w:sz w:val="22"/>
          <w:shd w:fill="auto" w:val="clear"/>
        </w:rPr>
        <w:t xml:space="preserve">, and </w:t>
      </w:r>
      <w:r>
        <w:rPr>
          <w:rFonts w:ascii="Arial" w:hAnsi="Arial" w:cs="Arial" w:eastAsia="Arial"/>
          <w:i/>
          <w:color w:val="auto"/>
          <w:spacing w:val="0"/>
          <w:position w:val="0"/>
          <w:sz w:val="22"/>
          <w:shd w:fill="auto" w:val="clear"/>
        </w:rPr>
        <w:t xml:space="preserve">n</w:t>
      </w:r>
      <w:r>
        <w:rPr>
          <w:rFonts w:ascii="Arial" w:hAnsi="Arial" w:cs="Arial" w:eastAsia="Arial"/>
          <w:color w:val="auto"/>
          <w:spacing w:val="0"/>
          <w:position w:val="0"/>
          <w:sz w:val="22"/>
          <w:shd w:fill="auto" w:val="clear"/>
        </w:rPr>
        <w:t xml:space="preserve"> = number of generations. Derived from: .</w:t>
      </w:r>
    </w:p>
    <w:p>
      <w:pPr>
        <w:spacing w:before="0" w:after="0" w:line="240"/>
        <w:ind w:right="0" w:left="1728" w:hanging="647"/>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3.4.2.4.</w:t>
        <w:tab/>
        <w:t xml:space="preserve">Calculate doubling time using:</w:t>
      </w:r>
    </w:p>
    <w:p>
      <w:pPr>
        <w:spacing w:before="0" w:after="0" w:line="240"/>
        <w:ind w:right="0" w:left="252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Plots of colony forming units and optical density are two ways to visualize growth kinetics. By determining the relationship between CFU/mL and OD600, the optical density plot also provides an estimate of CFU/mL over time. Conditions that result in the shortest doubling time are considered optimal for growth of the given bacteria.</w:t>
      </w:r>
    </w:p>
    <w:p>
      <w:pPr>
        <w:spacing w:before="0" w:after="0" w:line="240"/>
        <w:ind w:right="0" w:left="0" w:firstLine="0"/>
        <w:jc w:val="both"/>
        <w:rPr>
          <w:rFonts w:ascii="Arial" w:hAnsi="Arial" w:cs="Arial" w:eastAsia="Arial"/>
          <w:b/>
          <w:color w:val="auto"/>
          <w:spacing w:val="0"/>
          <w:position w:val="0"/>
          <w:sz w:val="22"/>
          <w:shd w:fill="FFFF00" w:val="clear"/>
        </w:rPr>
      </w:pPr>
    </w:p>
    <w:p>
      <w:pPr>
        <w:spacing w:before="0" w:after="0" w:line="240"/>
        <w:ind w:right="0" w:left="0" w:firstLine="0"/>
        <w:jc w:val="both"/>
        <w:rPr>
          <w:rFonts w:ascii="Arial" w:hAnsi="Arial" w:cs="Arial" w:eastAsia="Arial"/>
          <w:b/>
          <w:color w:val="auto"/>
          <w:spacing w:val="0"/>
          <w:position w:val="0"/>
          <w:sz w:val="22"/>
          <w:shd w:fill="FFFF00" w:val="clear"/>
        </w:rPr>
      </w:pPr>
      <w:r>
        <w:rPr>
          <w:rFonts w:ascii="Arial" w:hAnsi="Arial" w:cs="Arial" w:eastAsia="Arial"/>
          <w:b/>
          <w:color w:val="auto"/>
          <w:spacing w:val="0"/>
          <w:position w:val="0"/>
          <w:sz w:val="22"/>
          <w:shd w:fill="FFFF00" w:val="clear"/>
        </w:rPr>
        <w:t xml:space="preserve">DISCUSSION:</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Growth curves are valuable for understanding the growth kinetics and physiology of bacteria. They allow us to determine how bacteria respond in variable growth conditions as well as define the optimal growth parameters for a given bacterium. Colony forming unit and optical density plots both contain valuable information depicting the duration of lag phase, maximum cell density reached, and allowing for the calculation of bacterial doubling time. Growth curves also allow for comparison between different bacteria under the same growth conditions. Additionally, optical density provides a means of standardizing initial inoculums, enhancing consistency in other experiments.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Determining which approach to use when designing a growth curve experiment requires consideration. As the preferred method for generating growth curves, colony forming unit plots more accurately reflect the viable cell counts in batch culture. Colony forming unit plots also allow for measuring bacterial growth in conditions that would otherwise interfere with an optical density measurement. However, it is a more time consuming process, requiring extensive use of reagents, and must be performed manually. Optical density plots are less accurate and provide only an estimate of the colony forming units, requiring a standard curve to be generated for each unique bacteria. Optical density is primarily used for its convenience as it is far less time consuming and does not require many reagents to perform. What is most attractive to optical density, is that spectrophotometric incubators can automatically generate growth curves, vastly increasing the number of culture conditions that can be tested at once and eliminating the need to constantly attend the culture.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640" w:hanging="6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w:t>
        <w:tab/>
        <w:t xml:space="preserve">R. E. Buchanan. 1918. Life Phases in a Bacterial Culture. J Infect Dis 23:109</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125.</w:t>
      </w:r>
    </w:p>
    <w:p>
      <w:pPr>
        <w:spacing w:before="0" w:after="0" w:line="240"/>
        <w:ind w:right="0" w:left="640" w:hanging="6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t>
        <w:tab/>
        <w:t xml:space="preserve">CAMPBELL A. 1957. Synchronization of cell division. Bacteriol Rev 21:263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72.</w:t>
      </w:r>
    </w:p>
    <w:p>
      <w:pPr>
        <w:spacing w:before="0" w:after="0" w:line="240"/>
        <w:ind w:right="0" w:left="640" w:hanging="6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w:t>
        <w:tab/>
        <w:t xml:space="preserve">Wang P, Robert L, Pelletier J, Dang WL, Taddei F, Wright A, Jun S. 2010. Robust growth of Escherichia coli. Curr Biol 20:1099</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103.</w:t>
      </w:r>
    </w:p>
    <w:p>
      <w:pPr>
        <w:spacing w:before="0" w:after="0" w:line="240"/>
        <w:ind w:right="0" w:left="640" w:hanging="6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w:t>
        <w:tab/>
        <w:t xml:space="preserve">Goldman E, Green LH. 2015. Practical Handbook of Microbiology, Third Edition. CRC Press.</w:t>
      </w:r>
    </w:p>
    <w:p>
      <w:pPr>
        <w:spacing w:before="0" w:after="0" w:line="240"/>
        <w:ind w:right="0" w:left="640" w:hanging="6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w:t>
        <w:tab/>
        <w:t xml:space="preserve">Ben-David A, Davidson CE. 2014. Estimation method for serial dilution experiments. J Microbiol Methods 107:214</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221.</w:t>
      </w:r>
    </w:p>
    <w:p>
      <w:pPr>
        <w:spacing w:before="0" w:after="0" w:line="240"/>
        <w:ind w:right="0" w:left="640" w:hanging="6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w:t>
        <w:tab/>
        <w:t xml:space="preserve">Koch AL. 1968. Theory of the angular dependence of light scattered by bacteria and similar-sized biological objects. J Theor Biol 18:133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156.</w:t>
      </w:r>
    </w:p>
    <w:p>
      <w:pPr>
        <w:spacing w:before="0" w:after="0" w:line="240"/>
        <w:ind w:right="0" w:left="640" w:hanging="6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 </w:t>
        <w:tab/>
        <w:t xml:space="preserve">Sezonov G, Joseleau-Petit D, D’Ari R. 2007. Escherichia coli physiology in Luria-Bertani broth. J Bacteriol 189:8746</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9.</w:t>
      </w:r>
    </w:p>
    <w:p>
      <w:pPr>
        <w:spacing w:before="0" w:after="0" w:line="276"/>
        <w:ind w:right="0" w:left="0" w:firstLine="0"/>
        <w:jc w:val="left"/>
        <w:rPr>
          <w:rFonts w:ascii="Arial" w:hAnsi="Arial" w:cs="Arial" w:eastAsia="Arial"/>
          <w:color w:val="212121"/>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