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i/>
          <w:color w:val="auto"/>
          <w:spacing w:val="0"/>
          <w:position w:val="0"/>
          <w:sz w:val="22"/>
          <w:shd w:fill="FFFF00"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How diverse microbial species establish a unified ecosystem: The Winogradsky column</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 </w:t>
      </w: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Winogradsky column is a miniature, enclosed ecosystem used for enriching sediment microbial communities, especially those involved in sulfur cycling. The column was first used by Sergei Winogradsky in the 1880s and has since been applied in the study of many diverse microorganisms involved in biogeochemistry, such as photosynthesizers, sulfur oxidizers, sulfate reducers, methanogens, iron oxidizers, nitrogen cyclers, and more (1,2).</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majority of microorganisms on Earth are considered </w:t>
      </w:r>
      <w:r>
        <w:rPr>
          <w:rFonts w:ascii="Arial" w:hAnsi="Arial" w:cs="Arial" w:eastAsia="Arial"/>
          <w:i/>
          <w:color w:val="auto"/>
          <w:spacing w:val="0"/>
          <w:position w:val="0"/>
          <w:sz w:val="22"/>
          <w:shd w:fill="auto" w:val="clear"/>
        </w:rPr>
        <w:t xml:space="preserve">unculturable</w:t>
      </w:r>
      <w:r>
        <w:rPr>
          <w:rFonts w:ascii="Arial" w:hAnsi="Arial" w:cs="Arial" w:eastAsia="Arial"/>
          <w:color w:val="auto"/>
          <w:spacing w:val="0"/>
          <w:position w:val="0"/>
          <w:sz w:val="22"/>
          <w:shd w:fill="auto" w:val="clear"/>
        </w:rPr>
        <w:t xml:space="preserve">, meaning that they cannot be isolated in a test tube or on a petri dish (3). This is due to many factors, including that microorganisms depend on others for certain metabolic products. The conditions in a Winogradsky column closely mimic a microorganism’s natural habitat, including their interactions with other organisms, and allows for them to be grown in a lab. Therefor, this technique permits scientists to study these organisms and understand how they are important to Earth’s biogeochemical cycles without having to grow them in isolation.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Earth’s environments are full of microorganisms which thrive in all types of </w:t>
      </w:r>
      <w:r>
        <w:rPr>
          <w:rFonts w:ascii="Arial" w:hAnsi="Arial" w:cs="Arial" w:eastAsia="Arial"/>
          <w:i/>
          <w:color w:val="auto"/>
          <w:spacing w:val="0"/>
          <w:position w:val="0"/>
          <w:sz w:val="22"/>
          <w:shd w:fill="auto" w:val="clear"/>
        </w:rPr>
        <w:t xml:space="preserve">habitats,</w:t>
      </w:r>
      <w:r>
        <w:rPr>
          <w:rFonts w:ascii="Arial" w:hAnsi="Arial" w:cs="Arial" w:eastAsia="Arial"/>
          <w:color w:val="auto"/>
          <w:spacing w:val="0"/>
          <w:position w:val="0"/>
          <w:sz w:val="22"/>
          <w:shd w:fill="auto" w:val="clear"/>
        </w:rPr>
        <w:t xml:space="preserve"> such as soils, ocean water, clouds, and deep-sea sediments. In all habitats, microorganisms depend on each other.  As a microorganism grows, it consumes particular </w:t>
      </w:r>
      <w:r>
        <w:rPr>
          <w:rFonts w:ascii="Arial" w:hAnsi="Arial" w:cs="Arial" w:eastAsia="Arial"/>
          <w:i/>
          <w:color w:val="auto"/>
          <w:spacing w:val="0"/>
          <w:position w:val="0"/>
          <w:sz w:val="22"/>
          <w:shd w:fill="auto" w:val="clear"/>
        </w:rPr>
        <w:t xml:space="preserve">substrates</w:t>
      </w:r>
      <w:r>
        <w:rPr>
          <w:rFonts w:ascii="Arial" w:hAnsi="Arial" w:cs="Arial" w:eastAsia="Arial"/>
          <w:color w:val="auto"/>
          <w:spacing w:val="0"/>
          <w:position w:val="0"/>
          <w:sz w:val="22"/>
          <w:shd w:fill="auto" w:val="clear"/>
        </w:rPr>
        <w:t xml:space="preserve">, including carbon-rich fuels like sugars as well as nutrients, vitamins, and respiratory gases like oxygen. When these important resources run out, different microorganisms with different metabolic needs can then bloom and thrive. For example, in the Winogradsky column, microbes first consume the added organic material while depleting the oxygen in the bottom layers of the column. Once the oxygen is used up, anaerobic organisms can then take over and consume different organic materials. This consecutive development of different microbial communities over time is called </w:t>
      </w:r>
      <w:r>
        <w:rPr>
          <w:rFonts w:ascii="Arial" w:hAnsi="Arial" w:cs="Arial" w:eastAsia="Arial"/>
          <w:i/>
          <w:color w:val="auto"/>
          <w:spacing w:val="0"/>
          <w:position w:val="0"/>
          <w:sz w:val="22"/>
          <w:shd w:fill="auto" w:val="clear"/>
        </w:rPr>
        <w:t xml:space="preserve">succession </w:t>
      </w:r>
      <w:r>
        <w:rPr>
          <w:rFonts w:ascii="Arial" w:hAnsi="Arial" w:cs="Arial" w:eastAsia="Arial"/>
          <w:color w:val="auto"/>
          <w:spacing w:val="0"/>
          <w:position w:val="0"/>
          <w:sz w:val="22"/>
          <w:shd w:fill="auto" w:val="clear"/>
        </w:rPr>
        <w:t xml:space="preserve">(4). Microbial succession is important in a Winogradsky column, where microbial activity changes the chemistry of the sediment, which then affects activity of other microbes and so on. Many microorganisms in soils and sediments also live along </w:t>
      </w:r>
      <w:r>
        <w:rPr>
          <w:rFonts w:ascii="Arial" w:hAnsi="Arial" w:cs="Arial" w:eastAsia="Arial"/>
          <w:i/>
          <w:color w:val="auto"/>
          <w:spacing w:val="0"/>
          <w:position w:val="0"/>
          <w:sz w:val="22"/>
          <w:shd w:fill="auto" w:val="clear"/>
        </w:rPr>
        <w:t xml:space="preserve">gradients</w:t>
      </w:r>
      <w:r>
        <w:rPr>
          <w:rFonts w:ascii="Arial" w:hAnsi="Arial" w:cs="Arial" w:eastAsia="Arial"/>
          <w:color w:val="auto"/>
          <w:spacing w:val="0"/>
          <w:position w:val="0"/>
          <w:sz w:val="22"/>
          <w:shd w:fill="auto" w:val="clear"/>
        </w:rPr>
        <w:t xml:space="preserve">, which are transitional zones between two different types of habitats based on the concentrations of substrates (5). At the correct spot in the gradient, a microbe can receive optimal amounts of different substrates. As a Winogradsky column develops, it begins to mimic these natural gradients, particularly in oxygen and sulfide (Fig. 1).</w:t>
      </w:r>
    </w:p>
    <w:p>
      <w:pPr>
        <w:spacing w:before="0" w:after="0" w:line="276"/>
        <w:ind w:right="0" w:left="0" w:firstLine="0"/>
        <w:jc w:val="center"/>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w:t>
      </w:r>
      <w:r>
        <w:rPr>
          <w:rFonts w:ascii="Arial" w:hAnsi="Arial" w:cs="Arial" w:eastAsia="Arial"/>
          <w:color w:val="auto"/>
          <w:spacing w:val="0"/>
          <w:position w:val="0"/>
          <w:sz w:val="22"/>
          <w:shd w:fill="auto" w:val="clear"/>
        </w:rPr>
        <w:t xml:space="preserve">A representation of the oxygen (O</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and sulfide (H</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S) gradients that develop in a Winogradsky column.</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 Winogradsky column, mud and water from a pond or wetland are mixed in a transparent column and allowed to incubate, typically in the light. Additional substrates are added to the column to give the community sources of carbon, usually in the form of cellulose, and sulfur. Photosynthesizers typically start to grow in the top layers of the sediment. These photosynthetic microorganisms are largely composed of </w:t>
      </w:r>
      <w:r>
        <w:rPr>
          <w:rFonts w:ascii="Arial" w:hAnsi="Arial" w:cs="Arial" w:eastAsia="Arial"/>
          <w:i/>
          <w:color w:val="auto"/>
          <w:spacing w:val="0"/>
          <w:position w:val="0"/>
          <w:sz w:val="22"/>
          <w:shd w:fill="auto" w:val="clear"/>
        </w:rPr>
        <w:t xml:space="preserve">cyanobacteria,</w:t>
      </w:r>
      <w:r>
        <w:rPr>
          <w:rFonts w:ascii="Arial" w:hAnsi="Arial" w:cs="Arial" w:eastAsia="Arial"/>
          <w:color w:val="auto"/>
          <w:spacing w:val="0"/>
          <w:position w:val="0"/>
          <w:sz w:val="22"/>
          <w:shd w:fill="auto" w:val="clear"/>
        </w:rPr>
        <w:t xml:space="preserve"> which produce oxygen, and appear as a green or red-brown layer (Fig. 2, Table 1). While photosynthesis produces oxygen, oxygen is not very soluble in water and it decreases below this layer (Fig. 1). This creates a gradient of oxygen, ranging from high concentrations of oxygen in the top layers to zero oxygen in the bottom layers. The oxygenated layer is called the </w:t>
      </w:r>
      <w:r>
        <w:rPr>
          <w:rFonts w:ascii="Arial" w:hAnsi="Arial" w:cs="Arial" w:eastAsia="Arial"/>
          <w:i/>
          <w:color w:val="auto"/>
          <w:spacing w:val="0"/>
          <w:position w:val="0"/>
          <w:sz w:val="22"/>
          <w:shd w:fill="auto" w:val="clear"/>
        </w:rPr>
        <w:t xml:space="preserve">aerobic</w:t>
      </w:r>
      <w:r>
        <w:rPr>
          <w:rFonts w:ascii="Arial" w:hAnsi="Arial" w:cs="Arial" w:eastAsia="Arial"/>
          <w:color w:val="auto"/>
          <w:spacing w:val="0"/>
          <w:position w:val="0"/>
          <w:sz w:val="22"/>
          <w:shd w:fill="auto" w:val="clear"/>
        </w:rPr>
        <w:t xml:space="preserve"> layer and the layer without oxygen is called the </w:t>
      </w:r>
      <w:r>
        <w:rPr>
          <w:rFonts w:ascii="Arial" w:hAnsi="Arial" w:cs="Arial" w:eastAsia="Arial"/>
          <w:i/>
          <w:color w:val="auto"/>
          <w:spacing w:val="0"/>
          <w:position w:val="0"/>
          <w:sz w:val="22"/>
          <w:shd w:fill="auto" w:val="clear"/>
        </w:rPr>
        <w:t xml:space="preserve">anaerobic</w:t>
      </w:r>
      <w:r>
        <w:rPr>
          <w:rFonts w:ascii="Arial" w:hAnsi="Arial" w:cs="Arial" w:eastAsia="Arial"/>
          <w:color w:val="auto"/>
          <w:spacing w:val="0"/>
          <w:position w:val="0"/>
          <w:sz w:val="22"/>
          <w:shd w:fill="auto" w:val="clear"/>
        </w:rPr>
        <w:t xml:space="preserve"> layer.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the anaerobic layer, many different microbial communities can proliferate depending on the type and amount of substrates that are available, the source of the initial microbes, and the porosity of the sediment. At the bottom of the column, organisms that anaerobically break down organic matter can thrive. Microbial </w:t>
      </w:r>
      <w:r>
        <w:rPr>
          <w:rFonts w:ascii="Arial" w:hAnsi="Arial" w:cs="Arial" w:eastAsia="Arial"/>
          <w:i/>
          <w:color w:val="auto"/>
          <w:spacing w:val="0"/>
          <w:position w:val="0"/>
          <w:sz w:val="22"/>
          <w:shd w:fill="auto" w:val="clear"/>
        </w:rPr>
        <w:t xml:space="preserve">fermentation</w:t>
      </w:r>
      <w:r>
        <w:rPr>
          <w:rFonts w:ascii="Arial" w:hAnsi="Arial" w:cs="Arial" w:eastAsia="Arial"/>
          <w:color w:val="auto"/>
          <w:spacing w:val="0"/>
          <w:position w:val="0"/>
          <w:sz w:val="22"/>
          <w:shd w:fill="auto" w:val="clear"/>
        </w:rPr>
        <w:t xml:space="preserve"> produces organic acids from the breakdown of cellulose. These organic acids can then be used by </w:t>
      </w:r>
      <w:r>
        <w:rPr>
          <w:rFonts w:ascii="Arial" w:hAnsi="Arial" w:cs="Arial" w:eastAsia="Arial"/>
          <w:i/>
          <w:color w:val="auto"/>
          <w:spacing w:val="0"/>
          <w:position w:val="0"/>
          <w:sz w:val="22"/>
          <w:shd w:fill="auto" w:val="clear"/>
        </w:rPr>
        <w:t xml:space="preserve">sulfate reducers</w:t>
      </w:r>
      <w:r>
        <w:rPr>
          <w:rFonts w:ascii="Arial" w:hAnsi="Arial" w:cs="Arial" w:eastAsia="Arial"/>
          <w:color w:val="auto"/>
          <w:spacing w:val="0"/>
          <w:position w:val="0"/>
          <w:sz w:val="22"/>
          <w:shd w:fill="auto" w:val="clear"/>
        </w:rPr>
        <w:t xml:space="preserve">, which oxidize those organics using sulfate, and produce sulfide as a byproduct. The activity of sulfate reducers is indicated if the sediment turns black, because iron and sulfide react to form black iron-sulfide minerals (Fig. 2, Table 1). The sulfide also diffuses upward, creating another gradient in which sulfide concentrations are high in the bottom of the column and low in the top of the column (Fig. 1).</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Near the middle of the column, </w:t>
      </w:r>
      <w:r>
        <w:rPr>
          <w:rFonts w:ascii="Arial" w:hAnsi="Arial" w:cs="Arial" w:eastAsia="Arial"/>
          <w:i/>
          <w:color w:val="auto"/>
          <w:spacing w:val="0"/>
          <w:position w:val="0"/>
          <w:sz w:val="22"/>
          <w:shd w:fill="auto" w:val="clear"/>
        </w:rPr>
        <w:t xml:space="preserve">sulfur oxidizers</w:t>
      </w:r>
      <w:r>
        <w:rPr>
          <w:rFonts w:ascii="Arial" w:hAnsi="Arial" w:cs="Arial" w:eastAsia="Arial"/>
          <w:color w:val="auto"/>
          <w:spacing w:val="0"/>
          <w:position w:val="0"/>
          <w:sz w:val="22"/>
          <w:shd w:fill="auto" w:val="clear"/>
        </w:rPr>
        <w:t xml:space="preserve"> take advantage of the supply of oxygen from above and sulfide from below. With the right amount of light, photosynthetic sulfur oxidizers can develop in these layers. These organisms are known as </w:t>
      </w:r>
      <w:r>
        <w:rPr>
          <w:rFonts w:ascii="Arial" w:hAnsi="Arial" w:cs="Arial" w:eastAsia="Arial"/>
          <w:i/>
          <w:color w:val="auto"/>
          <w:spacing w:val="0"/>
          <w:position w:val="0"/>
          <w:sz w:val="22"/>
          <w:shd w:fill="auto" w:val="clear"/>
        </w:rPr>
        <w:t xml:space="preserve">green</w:t>
      </w:r>
      <w:r>
        <w:rPr>
          <w:rFonts w:ascii="Arial" w:hAnsi="Arial" w:cs="Arial" w:eastAsia="Arial"/>
          <w:color w:val="auto"/>
          <w:spacing w:val="0"/>
          <w:position w:val="0"/>
          <w:sz w:val="22"/>
          <w:shd w:fill="auto" w:val="clear"/>
        </w:rPr>
        <w:t xml:space="preserve"> and </w:t>
      </w:r>
      <w:r>
        <w:rPr>
          <w:rFonts w:ascii="Arial" w:hAnsi="Arial" w:cs="Arial" w:eastAsia="Arial"/>
          <w:i/>
          <w:color w:val="auto"/>
          <w:spacing w:val="0"/>
          <w:position w:val="0"/>
          <w:sz w:val="22"/>
          <w:shd w:fill="auto" w:val="clear"/>
        </w:rPr>
        <w:t xml:space="preserve">purple sulfur bacteria</w:t>
      </w:r>
      <w:r>
        <w:rPr>
          <w:rFonts w:ascii="Arial" w:hAnsi="Arial" w:cs="Arial" w:eastAsia="Arial"/>
          <w:color w:val="auto"/>
          <w:spacing w:val="0"/>
          <w:position w:val="0"/>
          <w:sz w:val="22"/>
          <w:shd w:fill="auto" w:val="clear"/>
        </w:rPr>
        <w:t xml:space="preserve">, and often appear as green, purple, or purple-red filaments and blotches (Fig. 2, Table 1). Green sulfur bacteria have a higher tolerance for sulfide and usually develop in the layer directly below purple sulfur bacteria. Above the purple sulfur bacteria, </w:t>
      </w:r>
      <w:r>
        <w:rPr>
          <w:rFonts w:ascii="Arial" w:hAnsi="Arial" w:cs="Arial" w:eastAsia="Arial"/>
          <w:i/>
          <w:color w:val="auto"/>
          <w:spacing w:val="0"/>
          <w:position w:val="0"/>
          <w:sz w:val="22"/>
          <w:shd w:fill="auto" w:val="clear"/>
        </w:rPr>
        <w:t xml:space="preserve">purple nonsulfur bacteria</w:t>
      </w:r>
      <w:r>
        <w:rPr>
          <w:rFonts w:ascii="Arial" w:hAnsi="Arial" w:cs="Arial" w:eastAsia="Arial"/>
          <w:color w:val="auto"/>
          <w:spacing w:val="0"/>
          <w:position w:val="0"/>
          <w:sz w:val="22"/>
          <w:shd w:fill="auto" w:val="clear"/>
        </w:rPr>
        <w:t xml:space="preserve"> may also develop. These organisms photosynthesize using organic acids as electron donors instead of sulfide and often appear as a red, purple, orange, or brown layer. </w:t>
      </w:r>
      <w:r>
        <w:rPr>
          <w:rFonts w:ascii="Arial" w:hAnsi="Arial" w:cs="Arial" w:eastAsia="Arial"/>
          <w:i/>
          <w:color w:val="auto"/>
          <w:spacing w:val="0"/>
          <w:position w:val="0"/>
          <w:sz w:val="22"/>
          <w:shd w:fill="auto" w:val="clear"/>
        </w:rPr>
        <w:t xml:space="preserve">Nonphotosynthetic sulfur oxidizers</w:t>
      </w:r>
      <w:r>
        <w:rPr>
          <w:rFonts w:ascii="Arial" w:hAnsi="Arial" w:cs="Arial" w:eastAsia="Arial"/>
          <w:color w:val="auto"/>
          <w:spacing w:val="0"/>
          <w:position w:val="0"/>
          <w:sz w:val="22"/>
          <w:shd w:fill="auto" w:val="clear"/>
        </w:rPr>
        <w:t xml:space="preserve"> can develop above the purple nonsulfur bacteria, and these usually appear as white filaments (Fig. 2, Table 1). Additionally, bubbles may also form in the Winogradsky column. Bubbles in the aerobic layers indicates the production of oxygen by the cyanobacteria.  Bubbles in the anaerobic layers are likely due to the activity of </w:t>
      </w:r>
      <w:r>
        <w:rPr>
          <w:rFonts w:ascii="Arial" w:hAnsi="Arial" w:cs="Arial" w:eastAsia="Arial"/>
          <w:i/>
          <w:color w:val="auto"/>
          <w:spacing w:val="0"/>
          <w:position w:val="0"/>
          <w:sz w:val="22"/>
          <w:shd w:fill="auto" w:val="clear"/>
        </w:rPr>
        <w:t xml:space="preserve">methanogens</w:t>
      </w:r>
      <w:r>
        <w:rPr>
          <w:rFonts w:ascii="Arial" w:hAnsi="Arial" w:cs="Arial" w:eastAsia="Arial"/>
          <w:color w:val="auto"/>
          <w:spacing w:val="0"/>
          <w:position w:val="0"/>
          <w:sz w:val="22"/>
          <w:shd w:fill="auto" w:val="clear"/>
        </w:rPr>
        <w:t xml:space="preserve">, organisms which anaerobically break down organic matter and form methane as a byproduct. </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Table 1: </w:t>
      </w:r>
      <w:r>
        <w:rPr>
          <w:rFonts w:ascii="Arial" w:hAnsi="Arial" w:cs="Arial" w:eastAsia="Arial"/>
          <w:color w:val="auto"/>
          <w:spacing w:val="0"/>
          <w:position w:val="0"/>
          <w:sz w:val="22"/>
          <w:shd w:fill="auto" w:val="clear"/>
        </w:rPr>
        <w:t xml:space="preserve">The main groups of bacteria that may appear in a classical Winogradsky column, from top to bottom. Examples of organisms from each group are given, and the visual indicators of each layer of organisms are listed. Based on Perry et al. (2002) and Rogan et al. (2005).</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76"/>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Set-up </w:t>
      </w:r>
    </w:p>
    <w:p>
      <w:pPr>
        <w:spacing w:before="0" w:after="0" w:line="276"/>
        <w:ind w:right="0" w:left="360" w:firstLine="0"/>
        <w:jc w:val="left"/>
        <w:rPr>
          <w:rFonts w:ascii="Arial" w:hAnsi="Arial" w:cs="Arial" w:eastAsia="Arial"/>
          <w:b/>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To set up a Winogradsky column, you will need some basic supplies: </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shovel, bucket, and bottle to collect the samples in the field.</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vertical transparent vessel, such as a graduated cylinder or plastic water bottle of about 1L.</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Plastic wrap and rubber bands</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2 large mixing bowls and large spoon to stir.</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sulfur source (egg yolk or calcium sulfate).</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source of organic carbon (cellulose, in the form of shredded newspaper)</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source of light (sunny window or desk lamp).</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Soil or mud collected from a marsh, wetland, pond, or stream.</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Water from the same habitat.</w:t>
      </w:r>
    </w:p>
    <w:p>
      <w:pPr>
        <w:spacing w:before="0" w:after="0" w:line="276"/>
        <w:ind w:right="0" w:left="144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OPTIONAL The following will be necessary for some of the optional experiments described in this protocol:</w:t>
      </w:r>
    </w:p>
    <w:p>
      <w:pPr>
        <w:spacing w:before="0" w:after="0" w:line="276"/>
        <w:ind w:right="0" w:left="288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Table salt</w:t>
      </w:r>
    </w:p>
    <w:p>
      <w:pPr>
        <w:spacing w:before="0" w:after="0" w:line="276"/>
        <w:ind w:right="0" w:left="288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Differently colored cellophane</w:t>
      </w:r>
    </w:p>
    <w:p>
      <w:pPr>
        <w:spacing w:before="0" w:after="0" w:line="276"/>
        <w:ind w:right="0" w:left="288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source of iron (such as a nail or steel wool)</w:t>
      </w:r>
    </w:p>
    <w:p>
      <w:pPr>
        <w:spacing w:before="0" w:after="0" w:line="276"/>
        <w:ind w:right="0" w:left="288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refrigerator with a light source</w:t>
      </w:r>
    </w:p>
    <w:p>
      <w:pPr>
        <w:spacing w:before="0" w:after="0" w:line="276"/>
        <w:ind w:right="0" w:left="2880" w:hanging="360"/>
        <w:jc w:val="left"/>
        <w:rPr>
          <w:rFonts w:ascii="Arial" w:hAnsi="Arial" w:cs="Arial" w:eastAsia="Arial"/>
          <w:color w:val="auto"/>
          <w:spacing w:val="0"/>
          <w:position w:val="0"/>
          <w:sz w:val="22"/>
          <w:shd w:fill="auto" w:val="clear"/>
        </w:rPr>
      </w:pPr>
      <w:r>
        <w:rPr>
          <w:rFonts w:ascii="Segoe UI Symbol" w:hAnsi="Segoe UI Symbol" w:cs="Segoe UI Symbol" w:eastAsia="Segoe UI Symbol"/>
          <w:color w:val="auto"/>
          <w:spacing w:val="0"/>
          <w:position w:val="0"/>
          <w:sz w:val="22"/>
          <w:shd w:fill="auto" w:val="clear"/>
        </w:rPr>
        <w:t xml:space="preserve">○</w:t>
      </w:r>
      <w:r>
        <w:rPr>
          <w:rFonts w:ascii="Arial" w:hAnsi="Arial" w:cs="Arial" w:eastAsia="Arial"/>
          <w:color w:val="auto"/>
          <w:spacing w:val="0"/>
          <w:position w:val="0"/>
          <w:sz w:val="22"/>
          <w:shd w:fill="auto" w:val="clear"/>
        </w:rPr>
        <w:tab/>
        <w:t xml:space="preserve">A radiator near a light source</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If using a plastic water bottle, cut off the neck area so that the column is cylindrically shaped. Remove any wrappers so that light can penetrate through the plastic.</w:t>
      </w:r>
    </w:p>
    <w:p>
      <w:pPr>
        <w:spacing w:before="0" w:after="0" w:line="276"/>
        <w:ind w:right="0" w:left="792"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Raw eggs may contain </w:t>
      </w:r>
      <w:r>
        <w:rPr>
          <w:rFonts w:ascii="Arial" w:hAnsi="Arial" w:cs="Arial" w:eastAsia="Arial"/>
          <w:i/>
          <w:color w:val="auto"/>
          <w:spacing w:val="0"/>
          <w:position w:val="0"/>
          <w:sz w:val="22"/>
          <w:shd w:fill="auto" w:val="clear"/>
        </w:rPr>
        <w:t xml:space="preserve">Salmonella</w:t>
      </w:r>
      <w:r>
        <w:rPr>
          <w:rFonts w:ascii="Arial" w:hAnsi="Arial" w:cs="Arial" w:eastAsia="Arial"/>
          <w:color w:val="auto"/>
          <w:spacing w:val="0"/>
          <w:position w:val="0"/>
          <w:sz w:val="22"/>
          <w:shd w:fill="auto" w:val="clear"/>
        </w:rPr>
        <w:t xml:space="preserve"> and should be handled with care. Proper hand-washing techniques should be followed. Alternatively, boiled egg can be used. Additionally, there is no way to know for sure if mud or sediment is contaminated with sewage or other harmful substance. Gloves should be used when mixing the mud and setting up the column.</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Assembling a Winogradsky Column </w:t>
      </w: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Using the shovel, dig up and collect mud into the bucket. The sediments should be near the water’s edge and completely saturated with water. You will need enough mud to fill each Winogradsky column. Collect some water from the same source into the sample bottle (approximately 3000ml per column is needed).</w:t>
      </w:r>
    </w:p>
    <w:p>
      <w:pPr>
        <w:spacing w:before="0" w:after="0" w:line="276"/>
        <w:ind w:right="0" w:left="792"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In the lab, transfer enough mud to the first mixing bowl to fill ~75% of your 1-liter volume column. Next, sift through to remove large rocks, twigs, or leaves while using the spoon to break apart clumps.</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Add some of the water that you collected to the mixing bowl while stirring. Add until the consistency of the water-mud mixture is like a milkshake. Continue to make sure there are no clumps.</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Transfer about </w:t>
      </w:r>
      <w:r>
        <w:rPr>
          <w:rFonts w:ascii="Arial" w:hAnsi="Arial" w:cs="Arial" w:eastAsia="Arial"/>
          <w:color w:val="auto"/>
          <w:spacing w:val="0"/>
          <w:position w:val="0"/>
          <w:sz w:val="22"/>
          <w:shd w:fill="auto" w:val="clear"/>
        </w:rPr>
        <w:t xml:space="preserve">⅓</w:t>
      </w:r>
      <w:r>
        <w:rPr>
          <w:rFonts w:ascii="Arial" w:hAnsi="Arial" w:cs="Arial" w:eastAsia="Arial"/>
          <w:color w:val="auto"/>
          <w:spacing w:val="0"/>
          <w:position w:val="0"/>
          <w:sz w:val="22"/>
          <w:shd w:fill="auto" w:val="clear"/>
        </w:rPr>
        <w:t xml:space="preserve"> of the water-mud milkshake to the second bowl. Add the egg yolk and a handful of shredded newspaper and mix.</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Add the mixture of mud, egg yolk, and newspaper to the column until the column is about ¼ full.</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Add the regular water-mud mixture into the column until the column is about ¾ full.</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Add the additional water to the column, leaving only a small space (~½ inch) of air on top.</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Cover the column with plastic wrap and secure with a rubber band.</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2.9.</w:t>
        <w:tab/>
        <w:t xml:space="preserve">Incubate the column in the light at room temperature.</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10" w:hanging="52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2.10.</w:t>
        <w:tab/>
        <w:t xml:space="preserve">For the next 4 to 8 weeks, monitor changes in the Winogradsky column for the development of different colored layers and the formation of bubbles, as described in Table 1. Additionally, you should record the time it takes for different layers to develop.</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Optional Modifications to the Classical Winogradsky Column</w:t>
      </w:r>
    </w:p>
    <w:p>
      <w:pPr>
        <w:spacing w:before="0" w:after="0" w:line="276"/>
        <w:ind w:right="0" w:left="360" w:firstLine="0"/>
        <w:jc w:val="left"/>
        <w:rPr>
          <w:rFonts w:ascii="Arial" w:hAnsi="Arial" w:cs="Arial" w:eastAsia="Arial"/>
          <w:b/>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Add 25-50g of salt per 1L Winogradsky column to the collected mud before adding water and stirring (step 2.3). The addition of salt selects for halophilic (salt-loving) bacteria. </w:t>
      </w:r>
    </w:p>
    <w:p>
      <w:pPr>
        <w:spacing w:before="0" w:after="0" w:line="276"/>
        <w:ind w:right="0" w:left="792"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Alternate substrates, such as iron, in the form of a nail or steel wool, can be added to the column along with the egg yolk and the shredded newspaper (step 2.4). This will enrich iron-oxidizing bacteria, such as Gallioenella, and will appear as a rust-colored layer.</w:t>
      </w:r>
    </w:p>
    <w:p>
      <w:pPr>
        <w:spacing w:before="0" w:after="0" w:line="276"/>
        <w:ind w:right="0" w:left="792"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Instead of room temperature (step 2.9), the column can be incubated near a radiator to select for </w:t>
      </w:r>
      <w:r>
        <w:rPr>
          <w:rFonts w:ascii="Arial" w:hAnsi="Arial" w:cs="Arial" w:eastAsia="Arial"/>
          <w:i/>
          <w:color w:val="auto"/>
          <w:spacing w:val="0"/>
          <w:position w:val="0"/>
          <w:sz w:val="22"/>
          <w:shd w:fill="auto" w:val="clear"/>
        </w:rPr>
        <w:t xml:space="preserve">thermophilic </w:t>
      </w:r>
      <w:r>
        <w:rPr>
          <w:rFonts w:ascii="Arial" w:hAnsi="Arial" w:cs="Arial" w:eastAsia="Arial"/>
          <w:color w:val="auto"/>
          <w:spacing w:val="0"/>
          <w:position w:val="0"/>
          <w:sz w:val="22"/>
          <w:shd w:fill="auto" w:val="clear"/>
        </w:rPr>
        <w:t xml:space="preserve">(heat-loving) bacteria or in a refrigerator with a light source to select for </w:t>
      </w:r>
      <w:r>
        <w:rPr>
          <w:rFonts w:ascii="Arial" w:hAnsi="Arial" w:cs="Arial" w:eastAsia="Arial"/>
          <w:i/>
          <w:color w:val="auto"/>
          <w:spacing w:val="0"/>
          <w:position w:val="0"/>
          <w:sz w:val="22"/>
          <w:shd w:fill="auto" w:val="clear"/>
        </w:rPr>
        <w:t xml:space="preserve">psychrophilic</w:t>
      </w:r>
      <w:r>
        <w:rPr>
          <w:rFonts w:ascii="Arial" w:hAnsi="Arial" w:cs="Arial" w:eastAsia="Arial"/>
          <w:color w:val="auto"/>
          <w:spacing w:val="0"/>
          <w:position w:val="0"/>
          <w:sz w:val="22"/>
          <w:shd w:fill="auto" w:val="clear"/>
        </w:rPr>
        <w:t xml:space="preserve"> (cold-loving) bacteria. </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The amount of light a column receives as it incubates (step 2.9) can also be varied by placing different columns in high light, low light, or darkness. </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The wavelength of incoming light can be limited by covering the column with differently shaded cellophanes as it incubates (step 2.9) to determine which colors select for different bacterial groups.</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w:t>
        <w:tab/>
        <w:t xml:space="preserve">Data Analysis</w:t>
      </w:r>
    </w:p>
    <w:p>
      <w:pPr>
        <w:spacing w:before="0" w:after="0" w:line="276"/>
        <w:ind w:right="0" w:left="360" w:firstLine="0"/>
        <w:jc w:val="left"/>
        <w:rPr>
          <w:rFonts w:ascii="Arial" w:hAnsi="Arial" w:cs="Arial" w:eastAsia="Arial"/>
          <w:b/>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After 1-3 weeks, some green coloring on the top of the mud layer of the classical Winogradsky column should be visible (Fig. 2A). These are the first signs of growth of the cyanobacterial layer. </w:t>
      </w: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Over time, continue to monitor the appearance and evolution of the different layers, each indicative of the different bacterial types. </w:t>
      </w:r>
      <w:r>
        <w:rPr>
          <w:rFonts w:ascii="Arial" w:hAnsi="Arial" w:cs="Arial" w:eastAsia="Arial"/>
          <w:b/>
          <w:color w:val="auto"/>
          <w:spacing w:val="0"/>
          <w:position w:val="0"/>
          <w:sz w:val="22"/>
          <w:shd w:fill="auto" w:val="clear"/>
        </w:rPr>
        <w:t xml:space="preserve">HINT</w:t>
      </w:r>
      <w:r>
        <w:rPr>
          <w:rFonts w:ascii="Arial" w:hAnsi="Arial" w:cs="Arial" w:eastAsia="Arial"/>
          <w:color w:val="auto"/>
          <w:spacing w:val="0"/>
          <w:position w:val="0"/>
          <w:sz w:val="22"/>
          <w:shd w:fill="auto" w:val="clear"/>
        </w:rPr>
        <w:t xml:space="preserve">: Refer to the Concepts and Table 1 to understand which bacteria contribute to the different layers.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45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2A:</w:t>
      </w:r>
      <w:r>
        <w:rPr>
          <w:rFonts w:ascii="Arial" w:hAnsi="Arial" w:cs="Arial" w:eastAsia="Arial"/>
          <w:color w:val="auto"/>
          <w:spacing w:val="0"/>
          <w:position w:val="0"/>
          <w:sz w:val="22"/>
          <w:shd w:fill="auto" w:val="clear"/>
        </w:rPr>
        <w:t xml:space="preserve"> A photo of a classical Winogradsky column that has incubated at room temperature for 21 days. Note the green sediment, indicative of cyanobacteria, in the upper portion of the column.</w:t>
      </w:r>
    </w:p>
    <w:p>
      <w:pPr>
        <w:spacing w:before="0" w:after="0" w:line="276"/>
        <w:ind w:right="0" w:left="45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If modifications to the classical Winogradsky column were also prepared, compare the results of each column.</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4.3.1.</w:t>
        <w:tab/>
        <w:t xml:space="preserve">Observe the layers in each of the modified Winogradsky columns. Take note of the following:</w:t>
      </w:r>
    </w:p>
    <w:p>
      <w:pPr>
        <w:spacing w:before="0" w:after="0" w:line="276"/>
        <w:ind w:right="0" w:left="1728" w:hanging="648"/>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Do the columns exhibit the same number of layers?</w:t>
      </w:r>
    </w:p>
    <w:p>
      <w:pPr>
        <w:spacing w:before="0" w:after="0" w:line="276"/>
        <w:ind w:right="0" w:left="1728" w:hanging="648"/>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Are the layers the same color and thickness?</w:t>
      </w:r>
    </w:p>
    <w:p>
      <w:pPr>
        <w:spacing w:before="0" w:after="0" w:line="276"/>
        <w:ind w:right="0" w:left="1728" w:hanging="648"/>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Do the layers occur at the same depths?</w:t>
      </w:r>
    </w:p>
    <w:p>
      <w:pPr>
        <w:spacing w:before="0" w:after="0" w:line="276"/>
        <w:ind w:right="0" w:left="1728" w:hanging="648"/>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How long did each column take to develop?</w:t>
      </w:r>
    </w:p>
    <w:p>
      <w:pPr>
        <w:spacing w:before="0" w:after="0" w:line="276"/>
        <w:ind w:right="0" w:left="1728" w:hanging="648"/>
        <w:jc w:val="left"/>
        <w:rPr>
          <w:rFonts w:ascii="Arial" w:hAnsi="Arial" w:cs="Arial" w:eastAsia="Arial"/>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Arial" w:hAnsi="Arial" w:cs="Arial" w:eastAsia="Arial"/>
          <w:color w:val="auto"/>
          <w:spacing w:val="0"/>
          <w:position w:val="0"/>
          <w:sz w:val="22"/>
          <w:shd w:fill="auto" w:val="clear"/>
        </w:rPr>
        <w:t xml:space="preserve">Did one column develop more slowly than the others?</w:t>
      </w:r>
    </w:p>
    <w:p>
      <w:pPr>
        <w:spacing w:before="0" w:after="0" w:line="276"/>
        <w:ind w:right="0" w:left="360" w:hanging="36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w:t>
        <w:tab/>
        <w:t xml:space="preserve">Results </w:t>
      </w:r>
    </w:p>
    <w:p>
      <w:pPr>
        <w:spacing w:before="0" w:after="0" w:line="276"/>
        <w:ind w:right="0" w:left="882" w:hanging="432"/>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In this experiment, water and sediment were collected from a freshwater habitat. Two Winogradsky columns were constructed and allowed to develop: a classical Winogradsky column incubated in the light at room temperature (Fig. 2A) and a Winogradsky column incubated in the dark at room temperature (Fig. 2B). </w:t>
      </w:r>
    </w:p>
    <w:p>
      <w:pPr>
        <w:spacing w:before="0" w:after="0" w:line="276"/>
        <w:ind w:right="0" w:left="0" w:firstLine="0"/>
        <w:jc w:val="left"/>
        <w:rPr>
          <w:rFonts w:ascii="Arial" w:hAnsi="Arial" w:cs="Arial" w:eastAsia="Arial"/>
          <w:b/>
          <w:color w:val="auto"/>
          <w:spacing w:val="0"/>
          <w:position w:val="0"/>
          <w:sz w:val="22"/>
          <w:shd w:fill="auto" w:val="clear"/>
        </w:rPr>
      </w:pPr>
    </w:p>
    <w:p>
      <w:pPr>
        <w:spacing w:before="0" w:after="0" w:line="276"/>
        <w:ind w:right="0" w:left="882"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2B: </w:t>
      </w:r>
      <w:r>
        <w:rPr>
          <w:rFonts w:ascii="Arial" w:hAnsi="Arial" w:cs="Arial" w:eastAsia="Arial"/>
          <w:color w:val="auto"/>
          <w:spacing w:val="0"/>
          <w:position w:val="0"/>
          <w:sz w:val="22"/>
          <w:shd w:fill="auto" w:val="clear"/>
        </w:rPr>
        <w:t xml:space="preserve">A photo of classical Winogradsky column (left), incubated at room temperature in light for 68 days and a Winogradsky column incubated at room temperature in the dark for 68 days (right).</w:t>
      </w:r>
    </w:p>
    <w:p>
      <w:pPr>
        <w:spacing w:before="0" w:after="0" w:line="276"/>
        <w:ind w:right="0" w:left="882" w:firstLine="0"/>
        <w:jc w:val="left"/>
        <w:rPr>
          <w:rFonts w:ascii="Arial" w:hAnsi="Arial" w:cs="Arial" w:eastAsia="Arial"/>
          <w:b/>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After allowing the columns to develop for 7-9 weeks, the layers in the classical column can be compared to the column incubated in the dark (Fig. 2B). In the classical Winogradsky column, a green cyanobacterial layer can be observed near the top of the tube. Near the center of the tube, a red-purple layer can be observed, indicative of purple nonsulfur bacteria. Under this layer, a purple-red layer is observed, indicative of purple sulfur bacteria. Directly under this layer, black sediment can be observed in the anaerobic region of the column, indicative of sulfate reducing bacteria. </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The column grown in the dark (Fig. 2B) developed differently than the classical Winogradsky column. Like the classical column, the dark column yielded black sediment near the bottom of the column, indicative of sulfate reducing bacteria. The dark column did not yield the green cyanobacterial layer, nor the red, purple, or green layers indicative of purple nonsulfur, purple sulfur, and green sulfur bacteria, respectively. These groups are dependent on light for growth, and therefore unable to grow in the dark.</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88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The precise results of each Winogradsky column will vary widely with their incubation conditions and their source habitats.</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5.4.1.</w:t>
        <w:tab/>
        <w:t xml:space="preserve"> Microbial communities originating from freshwater habitats will not be accustomed to high salt concentrations and the addition of salt may slow down or inhibit growth. Conversely, there may be sufficient halophilic bacteria in brackish and saltwater habitats so that the addition of salts makes no difference or even enhances the growth of particular layers when compared to a column without added salts.</w:t>
      </w:r>
    </w:p>
    <w:p>
      <w:pPr>
        <w:spacing w:before="0" w:after="0" w:line="276"/>
        <w:ind w:right="0" w:left="1224" w:firstLine="0"/>
        <w:jc w:val="left"/>
        <w:rPr>
          <w:rFonts w:ascii="Arial" w:hAnsi="Arial" w:cs="Arial" w:eastAsia="Arial"/>
          <w:color w:val="auto"/>
          <w:spacing w:val="0"/>
          <w:position w:val="0"/>
          <w:sz w:val="22"/>
          <w:shd w:fill="auto" w:val="clear"/>
        </w:rPr>
      </w:pPr>
    </w:p>
    <w:p>
      <w:pPr>
        <w:spacing w:before="0" w:after="0" w:line="276"/>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5.4.2.</w:t>
        <w:tab/>
        <w:t xml:space="preserve">Sandy sediments are more porous than muddy sediments. If enough sulfide is produced in such porous sediments, sulfides can diffuse all the way to the top of the column and inhibit growth of aerobic organisms. In this case, the column may only contain layers indicative of anaerobes and may not contain any aerobes, such as the cyanobacteria.</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5.4.3.</w:t>
        <w:tab/>
        <w:t xml:space="preserve">Freshwater generally contains less sulfate than saltwater. Sulfate is important for the growth of sulfate-reducing bacteria. Sulfate reducers create sulfide as a byproduct and are indicated by the development of a black layer in the bottom of the column. If sulfate is not supplemented to freshwater communities, sulfate reducers may not produce enough sulfide. The creation of the sulfide byproduct is important for the growth of green and purple sulfur bacteria and the nonphotosynthetic sulfur oxidizers. In these cases, sulfur oxidizers can still grow using the egg yolk as a source of sulfur, even if the sulfate reducers (black layer) never develop.</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5.4.4.</w:t>
        <w:tab/>
        <w:t xml:space="preserve">Different wavelengths of light should select for organisms with different absorption pigments. A column kept in the dark will only allow for nonphotosynthetic organisms to grow, including sulfate reducers, iron oxidizers, and methanogens. Photosynthesizers have pigments that absorb light at different wavelengths within the visible range (~400-700nm). By covering a column with, for example, blue cellophane, blue light (~450-490nm) is blocked from entering the column. All of the photosynthesizers in the column have pigments which require the blue wavelengths (6) and their growth should be inhibited. On the other hand, red cellophane will block light of ~635-700nm. These wavelengths are important for the pigments used by cyanobacteria (6), while purple sulfur, green sulfur, and purple nonsulfur bacteria may still be able to grow.</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1224" w:hanging="504"/>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5.4.5.</w:t>
        <w:tab/>
        <w:t xml:space="preserve">Different microbial communities may have vastly different adaptive abilities to cope with changes in temperatures. High temperatures can enhance rates of microbial activity when sufficient thermophiles are present. On the other hand, in the absence of thermophiles, high temperatures may decrease overall microbial activity. Similarly, low temperatures may decrease overall microbial activity unless the microbial community contains sufficient psychrophiles.</w:t>
      </w:r>
    </w:p>
    <w:p>
      <w:pPr>
        <w:spacing w:before="0" w:after="0" w:line="276"/>
        <w:ind w:right="0" w:left="360" w:firstLine="0"/>
        <w:jc w:val="left"/>
        <w:rPr>
          <w:rFonts w:ascii="Arial" w:hAnsi="Arial" w:cs="Arial" w:eastAsia="Arial"/>
          <w:b/>
          <w:color w:val="auto"/>
          <w:spacing w:val="0"/>
          <w:position w:val="0"/>
          <w:sz w:val="22"/>
          <w:shd w:fill="auto" w:val="clear"/>
        </w:rPr>
      </w:pPr>
    </w:p>
    <w:p>
      <w:pPr>
        <w:spacing w:before="0" w:after="0" w:line="276"/>
        <w:ind w:right="0" w:left="3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76"/>
        <w:ind w:right="0" w:left="360" w:firstLine="0"/>
        <w:jc w:val="left"/>
        <w:rPr>
          <w:rFonts w:ascii="Arial" w:hAnsi="Arial" w:cs="Arial" w:eastAsia="Arial"/>
          <w:b/>
          <w:color w:val="auto"/>
          <w:spacing w:val="0"/>
          <w:position w:val="0"/>
          <w:sz w:val="22"/>
          <w:shd w:fill="auto" w:val="clear"/>
        </w:rPr>
      </w:pPr>
    </w:p>
    <w:p>
      <w:pPr>
        <w:spacing w:before="0" w:after="0" w:line="276"/>
        <w:ind w:right="0" w:left="36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76"/>
        <w:ind w:right="0" w:left="45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Winogradsky column is an example of an interdependent microbial ecosystem. After mixing mud, water, and additional carbon and sulfur substrates in a vertical column, the stratified ecosystem should stabilize into separate, stable zones over several weeks. These zones are occupied by different microorganisms which flourish at a particular spot along the gradient between the sulfide-rich sediment in the bottom and the oxygen-rich sediment at the top. By manipulating the conditions and substrates within the Winogradsky column, the presence and activity of different microorganisms such as halophiles, thermophiles, psychrophiles, sulfur oxidizers, sulfur reducers, iron oxidizers, and photosynthesizers can be observed.</w:t>
      </w:r>
    </w:p>
    <w:p>
      <w:pPr>
        <w:spacing w:before="0" w:after="0" w:line="276"/>
        <w:ind w:right="0" w:left="450" w:firstLine="0"/>
        <w:jc w:val="left"/>
        <w:rPr>
          <w:rFonts w:ascii="Arial" w:hAnsi="Arial" w:cs="Arial" w:eastAsia="Arial"/>
          <w:color w:val="auto"/>
          <w:spacing w:val="0"/>
          <w:position w:val="0"/>
          <w:sz w:val="22"/>
          <w:shd w:fill="auto" w:val="clear"/>
        </w:rPr>
      </w:pPr>
    </w:p>
    <w:p>
      <w:pPr>
        <w:spacing w:before="0" w:after="0" w:line="276"/>
        <w:ind w:right="0" w:left="45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76"/>
        <w:ind w:right="0" w:left="45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76"/>
        <w:ind w:right="0" w:left="450" w:firstLine="0"/>
        <w:jc w:val="left"/>
        <w:rPr>
          <w:rFonts w:ascii="Arial" w:hAnsi="Arial" w:cs="Arial" w:eastAsia="Arial"/>
          <w:color w:val="auto"/>
          <w:spacing w:val="0"/>
          <w:position w:val="0"/>
          <w:sz w:val="22"/>
          <w:shd w:fill="auto" w:val="clear"/>
        </w:rPr>
      </w:pPr>
    </w:p>
    <w:p>
      <w:pPr>
        <w:spacing w:before="0" w:after="0" w:line="276"/>
        <w:ind w:right="0" w:left="45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Zavarzin G. (2006). Winogradsky and modern microbiology. Microbiology 75(6): 501-511. doi: 10.1134/s0026261706050018</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Esteban DJ, Hysa B, and Bartow-McKenney C (2015). Temporal and Spatial Distribution of the Microbial Community of Winogradsky Columns. PLoS ONE 10(8): e0134588. doi:10.1371/journal.pone.0134588</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Lloyd KG, Steen AD, Ladau J, Yin J, and Crosby L. (2018). Phylogenetically novel uncultured microbial cells dominate Earth microbiomes. mSystems 3(5): e00055-18. doi:10.1128/mSystems.00055-18</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Anderson DC, and Hairston RV (1999). The Winogradsky Column &amp;amp; Biofilms: Models for Teaching Nutrient Cycling &amp;amp; Succession in an Ecosystem. The American Biology Teacher, 61(6): 453-459. doi: 10.2307/4450728</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Dang H, Klotz MG, Lovell CR and Sievert SM (2019) Editorial: The Responses of Marine Microorganisms, Communities and Ecofunctions to Environmental Gradients. Frontiers in Microbiology 10(115). doi: 10.3389/fmicb.2019.00115</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w:t>
        <w:tab/>
        <w:t xml:space="preserve">Stomp M, Huisman J, Stal LJ, and Matthijs HCP. (2007) Colorful niches of phototrophic microorganisms shaped by vibrations of the water molecule. ISME Journal. 1(4): 271</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282. doi:10.1038/ismej.2007.59</w:t>
      </w:r>
    </w:p>
    <w:p>
      <w:pPr>
        <w:spacing w:before="0" w:after="0" w:line="276"/>
        <w:ind w:right="0" w:left="72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7.</w:t>
        <w:tab/>
        <w:t xml:space="preserve">Perry JJ, Staley JT, and Lory S. (2002) Microbial Life, First Edition, published by Sinauer Associates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8.</w:t>
        <w:tab/>
        <w:t xml:space="preserve">Rogan B, Lemke M, Levandowsky M, and Gorrel T. (2005) Exploring the Sulfur Nutrient Cycle Using the Winogradsky Column.  The American Biology Teacher, 67(6): 348-356. doi: 10.2307/4451860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