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38ED0351" w:rsidR="000331A6" w:rsidRPr="00925E0B" w:rsidRDefault="000331A6">
      <w:pPr>
        <w:rPr>
          <w:b/>
          <w:sz w:val="28"/>
          <w:szCs w:val="28"/>
        </w:rPr>
      </w:pPr>
      <w:bookmarkStart w:id="0" w:name="_GoBack"/>
      <w:bookmarkEnd w:id="0"/>
      <w:r w:rsidRPr="00925E0B">
        <w:rPr>
          <w:b/>
          <w:sz w:val="28"/>
          <w:szCs w:val="28"/>
        </w:rPr>
        <w:t>PI Name:</w:t>
      </w:r>
      <w:r w:rsidR="00CA1A45">
        <w:rPr>
          <w:b/>
          <w:sz w:val="28"/>
          <w:szCs w:val="28"/>
        </w:rPr>
        <w:t xml:space="preserve"> </w:t>
      </w:r>
      <w:r w:rsidR="00B34669">
        <w:rPr>
          <w:b/>
          <w:sz w:val="28"/>
          <w:szCs w:val="28"/>
        </w:rPr>
        <w:t>David C.</w:t>
      </w:r>
      <w:r w:rsidR="00CA1A45">
        <w:rPr>
          <w:b/>
          <w:sz w:val="28"/>
          <w:szCs w:val="28"/>
        </w:rPr>
        <w:t xml:space="preserve"> Powers</w:t>
      </w:r>
      <w:r w:rsidR="0094194B">
        <w:rPr>
          <w:b/>
          <w:sz w:val="28"/>
          <w:szCs w:val="28"/>
        </w:rPr>
        <w:t xml:space="preserve"> and Tamara M. Powers</w:t>
      </w:r>
      <w:r w:rsidR="00F67CDA">
        <w:rPr>
          <w:b/>
          <w:sz w:val="28"/>
          <w:szCs w:val="28"/>
        </w:rPr>
        <w:t>, Texas A&amp;M University</w:t>
      </w:r>
    </w:p>
    <w:p w14:paraId="51315A05" w14:textId="5FB7FDFB" w:rsidR="000331A6" w:rsidRDefault="00760C9B">
      <w:r>
        <w:rPr>
          <w:b/>
          <w:sz w:val="28"/>
        </w:rPr>
        <w:t>Science</w:t>
      </w:r>
      <w:r w:rsidR="000331A6" w:rsidRPr="000331A6">
        <w:rPr>
          <w:b/>
          <w:sz w:val="28"/>
        </w:rPr>
        <w:t xml:space="preserve"> Education Title</w:t>
      </w:r>
      <w:r w:rsidR="000331A6">
        <w:t xml:space="preserve"> </w:t>
      </w:r>
      <w:r w:rsidR="00B34669">
        <w:t>Introduction to Electron Paramagnetic Resonance (EPR)</w:t>
      </w:r>
    </w:p>
    <w:p w14:paraId="1DA6A697" w14:textId="77777777" w:rsidR="00A12DBA" w:rsidRDefault="000331A6">
      <w:r w:rsidRPr="000331A6">
        <w:rPr>
          <w:b/>
          <w:sz w:val="28"/>
        </w:rPr>
        <w:t xml:space="preserve">Overview </w:t>
      </w:r>
    </w:p>
    <w:p w14:paraId="210EC79B" w14:textId="6F4AA060" w:rsidR="0032171A" w:rsidRDefault="00553205" w:rsidP="0060757E">
      <w:pPr>
        <w:jc w:val="both"/>
      </w:pPr>
      <w:r>
        <w:t xml:space="preserve">In this video we will learn the basic principles behind Electron Paramagnetic Resonance (EPR). We will use EPR spectroscopy to study </w:t>
      </w:r>
      <w:r>
        <w:rPr>
          <w:rFonts w:ascii="Cambria" w:hAnsi="Cambria"/>
        </w:rPr>
        <w:t>how dibutylhydroxy toluene (BHT) behaves as an antioxidant in the autoxidation of aliphatic aldehydes.</w:t>
      </w:r>
    </w:p>
    <w:p w14:paraId="48CD5FE7" w14:textId="4F0C5807" w:rsidR="00B84DE8" w:rsidRDefault="00B84DE8" w:rsidP="00182CC8">
      <w:r>
        <w:rPr>
          <w:b/>
          <w:sz w:val="28"/>
          <w:szCs w:val="28"/>
        </w:rPr>
        <w:t xml:space="preserve">Principles </w:t>
      </w:r>
    </w:p>
    <w:p w14:paraId="4ABFA2F3" w14:textId="376D409A" w:rsidR="00553205" w:rsidRPr="00553205" w:rsidRDefault="003859D0" w:rsidP="004922B1">
      <w:pPr>
        <w:jc w:val="both"/>
        <w:rPr>
          <w:rFonts w:ascii="Cambria" w:hAnsi="Cambria"/>
          <w:i/>
        </w:rPr>
      </w:pPr>
      <w:r w:rsidRPr="00553205">
        <w:rPr>
          <w:rFonts w:ascii="Cambria" w:hAnsi="Cambria"/>
          <w:i/>
        </w:rPr>
        <w:t>Fundamentals of EPR</w:t>
      </w:r>
    </w:p>
    <w:p w14:paraId="349B7F15" w14:textId="3D5A69AF" w:rsidR="00290CCB" w:rsidRDefault="00553205" w:rsidP="004922B1">
      <w:pPr>
        <w:jc w:val="both"/>
        <w:rPr>
          <w:rFonts w:ascii="Cambria" w:hAnsi="Cambria"/>
        </w:rPr>
      </w:pPr>
      <w:r>
        <w:rPr>
          <w:rFonts w:ascii="Cambria" w:hAnsi="Cambria"/>
        </w:rPr>
        <w:t>EPR</w:t>
      </w:r>
      <w:r w:rsidR="00536F82">
        <w:rPr>
          <w:rFonts w:ascii="Cambria" w:hAnsi="Cambria"/>
        </w:rPr>
        <w:t xml:space="preserve"> is a </w:t>
      </w:r>
      <w:r w:rsidR="00220460">
        <w:rPr>
          <w:rFonts w:ascii="Cambria" w:hAnsi="Cambria"/>
        </w:rPr>
        <w:t xml:space="preserve">spectroscopic </w:t>
      </w:r>
      <w:r w:rsidR="00536F82">
        <w:rPr>
          <w:rFonts w:ascii="Cambria" w:hAnsi="Cambria"/>
        </w:rPr>
        <w:t>technique</w:t>
      </w:r>
      <w:r w:rsidR="00624F91">
        <w:rPr>
          <w:rFonts w:ascii="Cambria" w:hAnsi="Cambria"/>
        </w:rPr>
        <w:t xml:space="preserve"> that relies on similar physical phenomena as </w:t>
      </w:r>
      <w:r w:rsidR="00536F82">
        <w:rPr>
          <w:rFonts w:ascii="Cambria" w:hAnsi="Cambria"/>
        </w:rPr>
        <w:t>nuclear magnetic resonance (NMR)</w:t>
      </w:r>
      <w:r w:rsidR="00220460">
        <w:rPr>
          <w:rFonts w:ascii="Cambria" w:hAnsi="Cambria"/>
        </w:rPr>
        <w:t xml:space="preserve"> spectroscopy</w:t>
      </w:r>
      <w:r w:rsidR="00536F82">
        <w:rPr>
          <w:rFonts w:ascii="Cambria" w:hAnsi="Cambria"/>
        </w:rPr>
        <w:t xml:space="preserve">. While NMR </w:t>
      </w:r>
      <w:r w:rsidR="00710FDF">
        <w:rPr>
          <w:rFonts w:ascii="Cambria" w:hAnsi="Cambria"/>
        </w:rPr>
        <w:t>measure</w:t>
      </w:r>
      <w:r w:rsidR="00624F91">
        <w:rPr>
          <w:rFonts w:ascii="Cambria" w:hAnsi="Cambria"/>
        </w:rPr>
        <w:t>s</w:t>
      </w:r>
      <w:r w:rsidR="00710FDF">
        <w:rPr>
          <w:rFonts w:ascii="Cambria" w:hAnsi="Cambria"/>
        </w:rPr>
        <w:t xml:space="preserve"> </w:t>
      </w:r>
      <w:r w:rsidR="00536F82">
        <w:rPr>
          <w:rFonts w:ascii="Cambria" w:hAnsi="Cambria"/>
        </w:rPr>
        <w:t>nuclear</w:t>
      </w:r>
      <w:r w:rsidR="003A18FC">
        <w:rPr>
          <w:rFonts w:ascii="Cambria" w:hAnsi="Cambria"/>
        </w:rPr>
        <w:t xml:space="preserve"> spin</w:t>
      </w:r>
      <w:r w:rsidR="00536F82">
        <w:rPr>
          <w:rFonts w:ascii="Cambria" w:hAnsi="Cambria"/>
        </w:rPr>
        <w:t xml:space="preserve"> </w:t>
      </w:r>
      <w:r w:rsidR="003A18FC">
        <w:rPr>
          <w:rFonts w:ascii="Cambria" w:hAnsi="Cambria"/>
        </w:rPr>
        <w:t>transitions</w:t>
      </w:r>
      <w:r w:rsidR="00536F82">
        <w:rPr>
          <w:rFonts w:ascii="Cambria" w:hAnsi="Cambria"/>
        </w:rPr>
        <w:t>, EPR</w:t>
      </w:r>
      <w:r w:rsidR="004F7F52">
        <w:rPr>
          <w:rFonts w:ascii="Cambria" w:hAnsi="Cambria"/>
        </w:rPr>
        <w:t xml:space="preserve"> </w:t>
      </w:r>
      <w:r w:rsidR="003A18FC">
        <w:rPr>
          <w:rFonts w:ascii="Cambria" w:hAnsi="Cambria"/>
        </w:rPr>
        <w:t xml:space="preserve">measures electron spin transitions. EPR </w:t>
      </w:r>
      <w:r w:rsidR="00536F82">
        <w:rPr>
          <w:rFonts w:ascii="Cambria" w:hAnsi="Cambria"/>
        </w:rPr>
        <w:t>is</w:t>
      </w:r>
      <w:r w:rsidR="003A18FC">
        <w:rPr>
          <w:rFonts w:ascii="Cambria" w:hAnsi="Cambria"/>
        </w:rPr>
        <w:t xml:space="preserve"> chiefly</w:t>
      </w:r>
      <w:r w:rsidR="00536F82">
        <w:rPr>
          <w:rFonts w:ascii="Cambria" w:hAnsi="Cambria"/>
        </w:rPr>
        <w:t xml:space="preserve"> </w:t>
      </w:r>
      <w:r w:rsidR="004F7F52">
        <w:rPr>
          <w:rFonts w:ascii="Cambria" w:hAnsi="Cambria"/>
        </w:rPr>
        <w:t xml:space="preserve">used to study </w:t>
      </w:r>
      <w:r w:rsidR="00536F82">
        <w:rPr>
          <w:rFonts w:ascii="Cambria" w:hAnsi="Cambria"/>
        </w:rPr>
        <w:t>paramagnetic molecules</w:t>
      </w:r>
      <w:r w:rsidR="003A18FC">
        <w:rPr>
          <w:rFonts w:ascii="Cambria" w:hAnsi="Cambria"/>
        </w:rPr>
        <w:t xml:space="preserve">, which are molecules with </w:t>
      </w:r>
      <w:r w:rsidR="00536F82">
        <w:rPr>
          <w:rFonts w:ascii="Cambria" w:hAnsi="Cambria"/>
        </w:rPr>
        <w:t>unpaired electrons.</w:t>
      </w:r>
      <w:r w:rsidR="009E59B8">
        <w:rPr>
          <w:rFonts w:ascii="Cambria" w:hAnsi="Cambria"/>
        </w:rPr>
        <w:t xml:space="preserve"> Recall that a</w:t>
      </w:r>
      <w:r w:rsidR="00624F91">
        <w:rPr>
          <w:rFonts w:ascii="Cambria" w:hAnsi="Cambria"/>
        </w:rPr>
        <w:t>n</w:t>
      </w:r>
      <w:r>
        <w:rPr>
          <w:rFonts w:ascii="Cambria" w:hAnsi="Cambria"/>
        </w:rPr>
        <w:t xml:space="preserve"> electron</w:t>
      </w:r>
      <w:r w:rsidR="00710FDF">
        <w:rPr>
          <w:rFonts w:ascii="Cambria" w:hAnsi="Cambria"/>
        </w:rPr>
        <w:t xml:space="preserve"> </w:t>
      </w:r>
      <w:r w:rsidR="00624F91">
        <w:rPr>
          <w:rFonts w:ascii="Cambria" w:hAnsi="Cambria"/>
        </w:rPr>
        <w:t>has a</w:t>
      </w:r>
      <w:r w:rsidR="00710FDF">
        <w:rPr>
          <w:rFonts w:ascii="Cambria" w:hAnsi="Cambria"/>
        </w:rPr>
        <w:t xml:space="preserve"> spin quantum number, </w:t>
      </w:r>
      <w:r w:rsidR="00710FDF">
        <w:rPr>
          <w:rFonts w:ascii="Cambria" w:hAnsi="Cambria"/>
          <w:i/>
        </w:rPr>
        <w:t>s</w:t>
      </w:r>
      <w:r w:rsidR="00710FDF">
        <w:rPr>
          <w:rFonts w:ascii="Cambria" w:hAnsi="Cambria"/>
        </w:rPr>
        <w:t xml:space="preserve"> = ½, which has magnetic components </w:t>
      </w:r>
      <w:r w:rsidR="00710FDF">
        <w:rPr>
          <w:rFonts w:ascii="Cambria" w:hAnsi="Cambria"/>
          <w:i/>
        </w:rPr>
        <w:t>m</w:t>
      </w:r>
      <w:r w:rsidR="00710FDF">
        <w:rPr>
          <w:rFonts w:ascii="Cambria" w:hAnsi="Cambria"/>
          <w:i/>
          <w:vertAlign w:val="subscript"/>
        </w:rPr>
        <w:t>s</w:t>
      </w:r>
      <w:r w:rsidR="00710FDF">
        <w:rPr>
          <w:rFonts w:ascii="Cambria" w:hAnsi="Cambria"/>
        </w:rPr>
        <w:t xml:space="preserve"> = ½ and </w:t>
      </w:r>
      <w:r w:rsidR="00710FDF">
        <w:rPr>
          <w:rFonts w:ascii="Cambria" w:hAnsi="Cambria"/>
          <w:i/>
        </w:rPr>
        <w:t>m</w:t>
      </w:r>
      <w:r w:rsidR="00710FDF">
        <w:rPr>
          <w:rFonts w:ascii="Cambria" w:hAnsi="Cambria"/>
          <w:i/>
          <w:vertAlign w:val="subscript"/>
        </w:rPr>
        <w:t>s</w:t>
      </w:r>
      <w:r w:rsidR="00710FDF">
        <w:rPr>
          <w:rFonts w:ascii="Cambria" w:hAnsi="Cambria"/>
        </w:rPr>
        <w:t xml:space="preserve"> = –½. In the absence of a magnetic field, the energy of the two </w:t>
      </w:r>
      <w:r w:rsidR="00710FDF">
        <w:rPr>
          <w:rFonts w:ascii="Cambria" w:hAnsi="Cambria"/>
          <w:i/>
        </w:rPr>
        <w:t>m</w:t>
      </w:r>
      <w:r w:rsidR="00710FDF">
        <w:rPr>
          <w:rFonts w:ascii="Cambria" w:hAnsi="Cambria"/>
          <w:i/>
          <w:vertAlign w:val="subscript"/>
        </w:rPr>
        <w:t>s</w:t>
      </w:r>
      <w:r w:rsidR="00710FDF">
        <w:rPr>
          <w:rFonts w:ascii="Cambria" w:hAnsi="Cambria"/>
        </w:rPr>
        <w:t xml:space="preserve"> states are equivalent. However, in the presence of an </w:t>
      </w:r>
      <w:r w:rsidR="001F733F">
        <w:rPr>
          <w:rFonts w:ascii="Cambria" w:hAnsi="Cambria"/>
        </w:rPr>
        <w:t xml:space="preserve">applied </w:t>
      </w:r>
      <w:r w:rsidR="00710FDF">
        <w:rPr>
          <w:rFonts w:ascii="Cambria" w:hAnsi="Cambria"/>
        </w:rPr>
        <w:t>magnetic field</w:t>
      </w:r>
      <w:r w:rsidR="007F0191">
        <w:rPr>
          <w:rFonts w:ascii="Cambria" w:hAnsi="Cambria"/>
        </w:rPr>
        <w:t xml:space="preserve"> (</w:t>
      </w:r>
      <w:r w:rsidR="007F0191">
        <w:rPr>
          <w:rFonts w:ascii="Cambria" w:hAnsi="Cambria"/>
          <w:i/>
        </w:rPr>
        <w:t>B</w:t>
      </w:r>
      <w:r w:rsidR="007F0191">
        <w:rPr>
          <w:rFonts w:ascii="Cambria" w:hAnsi="Cambria"/>
          <w:vertAlign w:val="subscript"/>
        </w:rPr>
        <w:t>0</w:t>
      </w:r>
      <w:r w:rsidR="007F0191">
        <w:rPr>
          <w:rFonts w:ascii="Cambria" w:hAnsi="Cambria"/>
        </w:rPr>
        <w:t>)</w:t>
      </w:r>
      <w:r w:rsidR="00710FDF">
        <w:rPr>
          <w:rFonts w:ascii="Cambria" w:hAnsi="Cambria"/>
        </w:rPr>
        <w:t xml:space="preserve">, </w:t>
      </w:r>
      <w:r w:rsidR="00234F96">
        <w:rPr>
          <w:rFonts w:ascii="Cambria" w:hAnsi="Cambria"/>
        </w:rPr>
        <w:t>the magnetic moment of the electron aligns with the applied magnetic field</w:t>
      </w:r>
      <w:r w:rsidR="004F7F52">
        <w:rPr>
          <w:rFonts w:ascii="Cambria" w:hAnsi="Cambria"/>
        </w:rPr>
        <w:t xml:space="preserve"> and, as a</w:t>
      </w:r>
      <w:r w:rsidR="00710FDF">
        <w:rPr>
          <w:rFonts w:ascii="Cambria" w:hAnsi="Cambria"/>
        </w:rPr>
        <w:t xml:space="preserve"> </w:t>
      </w:r>
      <w:r w:rsidR="004F7F52">
        <w:rPr>
          <w:rFonts w:ascii="Cambria" w:hAnsi="Cambria"/>
        </w:rPr>
        <w:t>result,</w:t>
      </w:r>
      <w:r w:rsidR="00234F96">
        <w:rPr>
          <w:rFonts w:ascii="Cambria" w:hAnsi="Cambria"/>
        </w:rPr>
        <w:t xml:space="preserve"> the </w:t>
      </w:r>
      <w:r w:rsidR="00710FDF">
        <w:rPr>
          <w:rFonts w:ascii="Cambria" w:hAnsi="Cambria"/>
          <w:i/>
        </w:rPr>
        <w:t>m</w:t>
      </w:r>
      <w:r w:rsidR="00710FDF">
        <w:rPr>
          <w:rFonts w:ascii="Cambria" w:hAnsi="Cambria"/>
          <w:i/>
          <w:vertAlign w:val="subscript"/>
        </w:rPr>
        <w:t>s</w:t>
      </w:r>
      <w:r w:rsidR="004F7F52">
        <w:rPr>
          <w:rFonts w:ascii="Cambria" w:hAnsi="Cambria"/>
        </w:rPr>
        <w:t xml:space="preserve"> states become</w:t>
      </w:r>
      <w:r w:rsidR="00710FDF">
        <w:rPr>
          <w:rFonts w:ascii="Cambria" w:hAnsi="Cambria"/>
        </w:rPr>
        <w:t xml:space="preserve"> non-degenerate (</w:t>
      </w:r>
      <w:r w:rsidR="00710FDF" w:rsidRPr="00710FDF">
        <w:rPr>
          <w:rFonts w:ascii="Cambria" w:hAnsi="Cambria"/>
          <w:b/>
        </w:rPr>
        <w:t xml:space="preserve">Figure </w:t>
      </w:r>
      <w:r w:rsidR="00624F91">
        <w:rPr>
          <w:rFonts w:ascii="Cambria" w:hAnsi="Cambria"/>
          <w:b/>
        </w:rPr>
        <w:t>1</w:t>
      </w:r>
      <w:r w:rsidR="00710FDF">
        <w:rPr>
          <w:rFonts w:ascii="Cambria" w:hAnsi="Cambria"/>
        </w:rPr>
        <w:t xml:space="preserve">). </w:t>
      </w:r>
      <w:r w:rsidR="00234F96">
        <w:rPr>
          <w:rFonts w:ascii="Cambria" w:hAnsi="Cambria"/>
        </w:rPr>
        <w:t>T</w:t>
      </w:r>
      <w:r w:rsidR="00710FDF">
        <w:rPr>
          <w:rFonts w:ascii="Cambria" w:hAnsi="Cambria"/>
        </w:rPr>
        <w:t xml:space="preserve">he energy </w:t>
      </w:r>
      <w:r w:rsidR="00624F91">
        <w:rPr>
          <w:rFonts w:ascii="Cambria" w:hAnsi="Cambria"/>
        </w:rPr>
        <w:t xml:space="preserve">difference between </w:t>
      </w:r>
      <w:r w:rsidR="00710FDF">
        <w:rPr>
          <w:rFonts w:ascii="Cambria" w:hAnsi="Cambria"/>
        </w:rPr>
        <w:t xml:space="preserve">the </w:t>
      </w:r>
      <w:r w:rsidR="00710FDF">
        <w:rPr>
          <w:rFonts w:ascii="Cambria" w:hAnsi="Cambria"/>
          <w:i/>
        </w:rPr>
        <w:t>m</w:t>
      </w:r>
      <w:r w:rsidR="00710FDF">
        <w:rPr>
          <w:rFonts w:ascii="Cambria" w:hAnsi="Cambria"/>
          <w:i/>
          <w:vertAlign w:val="subscript"/>
        </w:rPr>
        <w:t>s</w:t>
      </w:r>
      <w:r w:rsidR="00710FDF" w:rsidRPr="00710FDF">
        <w:rPr>
          <w:rFonts w:ascii="Cambria" w:hAnsi="Cambria"/>
        </w:rPr>
        <w:t xml:space="preserve"> state</w:t>
      </w:r>
      <w:r w:rsidR="00710FDF">
        <w:rPr>
          <w:rFonts w:ascii="Cambria" w:hAnsi="Cambria"/>
        </w:rPr>
        <w:t xml:space="preserve"> is dependent on the strength of the </w:t>
      </w:r>
      <w:r w:rsidR="00234F96">
        <w:rPr>
          <w:rFonts w:ascii="Cambria" w:hAnsi="Cambria"/>
        </w:rPr>
        <w:t xml:space="preserve">magnetic </w:t>
      </w:r>
      <w:r w:rsidR="00306B1D">
        <w:rPr>
          <w:rFonts w:ascii="Cambria" w:hAnsi="Cambria"/>
        </w:rPr>
        <w:t>field (</w:t>
      </w:r>
      <w:r w:rsidR="00306B1D" w:rsidRPr="00306B1D">
        <w:rPr>
          <w:rFonts w:ascii="Cambria" w:hAnsi="Cambria"/>
          <w:b/>
        </w:rPr>
        <w:t>equation 1</w:t>
      </w:r>
      <w:r w:rsidR="00306B1D">
        <w:rPr>
          <w:rFonts w:ascii="Cambria" w:hAnsi="Cambria"/>
        </w:rPr>
        <w:t>)</w:t>
      </w:r>
      <w:r w:rsidR="00234F96">
        <w:rPr>
          <w:rFonts w:ascii="Cambria" w:hAnsi="Cambria"/>
        </w:rPr>
        <w:t>. This is called the Zeeman effect.</w:t>
      </w:r>
    </w:p>
    <w:p w14:paraId="215BC4A5" w14:textId="6CC00C48" w:rsidR="00306B1D" w:rsidRDefault="00306B1D" w:rsidP="00306B1D">
      <w:pPr>
        <w:ind w:left="720" w:firstLine="720"/>
        <w:jc w:val="both"/>
        <w:rPr>
          <w:rFonts w:ascii="Cambria" w:hAnsi="Cambria"/>
        </w:rPr>
      </w:pPr>
      <w:r>
        <w:rPr>
          <w:rFonts w:ascii="Cambria" w:hAnsi="Cambria"/>
          <w:i/>
        </w:rPr>
        <w:t>E = m</w:t>
      </w:r>
      <w:r>
        <w:rPr>
          <w:rFonts w:ascii="Cambria" w:hAnsi="Cambria"/>
          <w:i/>
          <w:vertAlign w:val="subscript"/>
        </w:rPr>
        <w:t>s</w:t>
      </w:r>
      <w:r>
        <w:rPr>
          <w:rFonts w:ascii="Cambria" w:hAnsi="Cambria"/>
          <w:i/>
        </w:rPr>
        <w:t>g</w:t>
      </w:r>
      <w:r>
        <w:rPr>
          <w:rFonts w:ascii="Cambria" w:hAnsi="Cambria"/>
          <w:i/>
          <w:vertAlign w:val="subscript"/>
        </w:rPr>
        <w:t>e</w:t>
      </w:r>
      <w:r>
        <w:rPr>
          <w:rFonts w:ascii="Symbol" w:hAnsi="Symbol"/>
          <w:i/>
        </w:rPr>
        <w:t></w:t>
      </w:r>
      <w:r w:rsidRPr="00306B1D">
        <w:rPr>
          <w:rFonts w:ascii="Cambria" w:hAnsi="Cambria"/>
          <w:vertAlign w:val="subscript"/>
        </w:rPr>
        <w:t>B</w:t>
      </w:r>
      <w:r>
        <w:rPr>
          <w:rFonts w:ascii="Cambria" w:hAnsi="Cambria"/>
          <w:i/>
        </w:rPr>
        <w:t>B</w:t>
      </w:r>
      <w:r w:rsidRPr="00306B1D">
        <w:rPr>
          <w:rFonts w:ascii="Cambria" w:hAnsi="Cambria"/>
          <w:vertAlign w:val="subscript"/>
        </w:rPr>
        <w:t>0</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(1)</w:t>
      </w:r>
    </w:p>
    <w:p w14:paraId="33FF184F" w14:textId="2A9D7987" w:rsidR="00306B1D" w:rsidRDefault="00306B1D" w:rsidP="00306B1D">
      <w:pPr>
        <w:ind w:left="720" w:firstLine="720"/>
        <w:jc w:val="both"/>
        <w:rPr>
          <w:rFonts w:ascii="Cambria" w:hAnsi="Cambria"/>
        </w:rPr>
      </w:pPr>
      <w:r>
        <w:rPr>
          <w:rFonts w:ascii="Cambria" w:hAnsi="Cambria"/>
        </w:rPr>
        <w:t xml:space="preserve">where </w:t>
      </w:r>
      <w:r>
        <w:rPr>
          <w:rFonts w:ascii="Cambria" w:hAnsi="Cambria"/>
          <w:i/>
        </w:rPr>
        <w:t>g</w:t>
      </w:r>
      <w:r>
        <w:rPr>
          <w:rFonts w:ascii="Cambria" w:hAnsi="Cambria"/>
          <w:i/>
          <w:vertAlign w:val="subscript"/>
        </w:rPr>
        <w:t>e</w:t>
      </w:r>
      <w:r w:rsidRPr="00306B1D">
        <w:rPr>
          <w:rFonts w:ascii="Cambria" w:hAnsi="Cambria"/>
        </w:rPr>
        <w:t xml:space="preserve"> =</w:t>
      </w:r>
      <w:r>
        <w:rPr>
          <w:rFonts w:ascii="Cambria" w:hAnsi="Cambria"/>
        </w:rPr>
        <w:t xml:space="preserve"> </w:t>
      </w:r>
      <w:r>
        <w:rPr>
          <w:rFonts w:ascii="Cambria" w:hAnsi="Cambria"/>
          <w:i/>
        </w:rPr>
        <w:t>g</w:t>
      </w:r>
      <w:r>
        <w:rPr>
          <w:rFonts w:ascii="Cambria" w:hAnsi="Cambria"/>
        </w:rPr>
        <w:t>-fac</w:t>
      </w:r>
      <w:r w:rsidR="009E59B8">
        <w:rPr>
          <w:rFonts w:ascii="Cambria" w:hAnsi="Cambria"/>
        </w:rPr>
        <w:t>tor, which is 2.0023 for a free-</w:t>
      </w:r>
      <w:r>
        <w:rPr>
          <w:rFonts w:ascii="Cambria" w:hAnsi="Cambria"/>
        </w:rPr>
        <w:t>electron</w:t>
      </w:r>
    </w:p>
    <w:p w14:paraId="6FD0BCF4" w14:textId="5FA828E8" w:rsidR="00306B1D" w:rsidRDefault="00306B1D" w:rsidP="00306B1D">
      <w:pPr>
        <w:ind w:left="720" w:firstLine="720"/>
        <w:jc w:val="both"/>
        <w:rPr>
          <w:rFonts w:ascii="Cambria" w:hAnsi="Cambria"/>
        </w:rPr>
      </w:pPr>
      <w:r>
        <w:rPr>
          <w:rFonts w:ascii="Cambria" w:hAnsi="Cambria"/>
        </w:rPr>
        <w:t xml:space="preserve">and </w:t>
      </w:r>
      <w:r>
        <w:rPr>
          <w:rFonts w:ascii="Symbol" w:hAnsi="Symbol"/>
          <w:i/>
        </w:rPr>
        <w:t></w:t>
      </w:r>
      <w:r w:rsidRPr="00306B1D">
        <w:rPr>
          <w:rFonts w:ascii="Cambria" w:hAnsi="Cambria"/>
          <w:vertAlign w:val="subscript"/>
        </w:rPr>
        <w:t>B</w:t>
      </w:r>
      <w:r>
        <w:rPr>
          <w:rFonts w:ascii="Cambria" w:hAnsi="Cambria"/>
        </w:rPr>
        <w:t xml:space="preserve"> = Bohr magneton</w:t>
      </w:r>
    </w:p>
    <w:p w14:paraId="0B3B8CC8" w14:textId="0CED338B" w:rsidR="00C11F85" w:rsidRDefault="00C11F85" w:rsidP="00306B1D">
      <w:pPr>
        <w:jc w:val="both"/>
        <w:rPr>
          <w:rFonts w:ascii="Cambria" w:hAnsi="Cambria"/>
        </w:rPr>
      </w:pPr>
      <w:r>
        <w:t xml:space="preserve">At a given magnetic field, </w:t>
      </w:r>
      <w:r>
        <w:rPr>
          <w:rFonts w:ascii="Cambria" w:hAnsi="Cambria"/>
          <w:i/>
        </w:rPr>
        <w:t>B</w:t>
      </w:r>
      <w:r>
        <w:rPr>
          <w:rFonts w:ascii="Cambria" w:hAnsi="Cambria"/>
          <w:vertAlign w:val="subscript"/>
        </w:rPr>
        <w:t>0</w:t>
      </w:r>
      <w:r>
        <w:rPr>
          <w:rFonts w:ascii="Cambria" w:hAnsi="Cambria"/>
        </w:rPr>
        <w:t xml:space="preserve">, the energy difference between the two </w:t>
      </w:r>
      <w:r>
        <w:rPr>
          <w:rFonts w:ascii="Cambria" w:hAnsi="Cambria"/>
          <w:i/>
        </w:rPr>
        <w:t>m</w:t>
      </w:r>
      <w:r>
        <w:rPr>
          <w:rFonts w:ascii="Cambria" w:hAnsi="Cambria"/>
          <w:i/>
          <w:vertAlign w:val="subscript"/>
        </w:rPr>
        <w:t>s</w:t>
      </w:r>
      <w:r>
        <w:rPr>
          <w:rFonts w:ascii="Cambria" w:hAnsi="Cambria"/>
          <w:i/>
        </w:rPr>
        <w:t xml:space="preserve"> </w:t>
      </w:r>
      <w:r>
        <w:rPr>
          <w:rFonts w:ascii="Cambria" w:hAnsi="Cambria"/>
        </w:rPr>
        <w:t xml:space="preserve">states is given by </w:t>
      </w:r>
      <w:r w:rsidRPr="000E420C">
        <w:rPr>
          <w:rFonts w:ascii="Cambria" w:hAnsi="Cambria"/>
          <w:b/>
        </w:rPr>
        <w:t>equation 2</w:t>
      </w:r>
      <w:r>
        <w:rPr>
          <w:rFonts w:ascii="Cambria" w:hAnsi="Cambria"/>
        </w:rPr>
        <w:t>.</w:t>
      </w:r>
    </w:p>
    <w:p w14:paraId="1C9BF922" w14:textId="30E3B4F4" w:rsidR="00C11F85" w:rsidRDefault="00C11F85" w:rsidP="00306B1D">
      <w:pPr>
        <w:jc w:val="both"/>
      </w:pPr>
      <w:r>
        <w:rPr>
          <w:rFonts w:ascii="Cambria" w:hAnsi="Cambria"/>
        </w:rPr>
        <w:tab/>
      </w:r>
      <w:r>
        <w:rPr>
          <w:rFonts w:ascii="Cambria" w:hAnsi="Cambria"/>
        </w:rPr>
        <w:tab/>
      </w:r>
      <w:r>
        <w:rPr>
          <w:rFonts w:ascii="Symbol" w:hAnsi="Symbol"/>
        </w:rPr>
        <w:t></w:t>
      </w:r>
      <w:r>
        <w:rPr>
          <w:rFonts w:ascii="Cambria" w:hAnsi="Cambria"/>
          <w:i/>
        </w:rPr>
        <w:t xml:space="preserve">E </w:t>
      </w:r>
      <w:r w:rsidRPr="00C11F85">
        <w:rPr>
          <w:rFonts w:ascii="Cambria" w:hAnsi="Cambria"/>
        </w:rPr>
        <w:t>=</w:t>
      </w:r>
      <w:r w:rsidR="000E420C">
        <w:rPr>
          <w:rFonts w:ascii="Cambria" w:hAnsi="Cambria"/>
        </w:rPr>
        <w:t xml:space="preserve"> </w:t>
      </w:r>
      <w:r w:rsidR="000E420C">
        <w:rPr>
          <w:rFonts w:ascii="Cambria" w:hAnsi="Cambria"/>
          <w:i/>
        </w:rPr>
        <w:t>E</w:t>
      </w:r>
      <w:r w:rsidR="000E420C">
        <w:rPr>
          <w:rFonts w:ascii="Cambria" w:hAnsi="Cambria"/>
          <w:i/>
          <w:vertAlign w:val="subscript"/>
        </w:rPr>
        <w:t xml:space="preserve">1/2 </w:t>
      </w:r>
      <w:r w:rsidR="000E420C">
        <w:rPr>
          <w:rFonts w:ascii="Cambria" w:hAnsi="Cambria"/>
          <w:i/>
        </w:rPr>
        <w:t>– E</w:t>
      </w:r>
      <w:r w:rsidR="000E420C">
        <w:rPr>
          <w:rFonts w:ascii="Cambria" w:hAnsi="Cambria"/>
          <w:i/>
          <w:vertAlign w:val="subscript"/>
        </w:rPr>
        <w:t>-1/2</w:t>
      </w:r>
      <w:r w:rsidR="000E420C">
        <w:rPr>
          <w:rFonts w:ascii="Cambria" w:hAnsi="Cambria"/>
        </w:rPr>
        <w:t xml:space="preserve"> =</w:t>
      </w:r>
      <w:r>
        <w:rPr>
          <w:rFonts w:ascii="Cambria" w:hAnsi="Cambria"/>
          <w:i/>
        </w:rPr>
        <w:t xml:space="preserve"> g</w:t>
      </w:r>
      <w:r>
        <w:rPr>
          <w:rFonts w:ascii="Cambria" w:hAnsi="Cambria"/>
          <w:i/>
          <w:vertAlign w:val="subscript"/>
        </w:rPr>
        <w:t>e</w:t>
      </w:r>
      <w:r>
        <w:rPr>
          <w:rFonts w:ascii="Symbol" w:hAnsi="Symbol"/>
          <w:i/>
        </w:rPr>
        <w:t></w:t>
      </w:r>
      <w:r w:rsidRPr="00306B1D">
        <w:rPr>
          <w:rFonts w:ascii="Cambria" w:hAnsi="Cambria"/>
          <w:vertAlign w:val="subscript"/>
        </w:rPr>
        <w:t>B</w:t>
      </w:r>
      <w:r>
        <w:rPr>
          <w:rFonts w:ascii="Cambria" w:hAnsi="Cambria"/>
          <w:i/>
        </w:rPr>
        <w:t>B</w:t>
      </w:r>
      <w:r w:rsidRPr="00306B1D">
        <w:rPr>
          <w:rFonts w:ascii="Cambria" w:hAnsi="Cambria"/>
          <w:vertAlign w:val="subscript"/>
        </w:rPr>
        <w:t>0</w:t>
      </w:r>
      <w:r>
        <w:rPr>
          <w:rFonts w:ascii="Cambria" w:hAnsi="Cambria"/>
        </w:rPr>
        <w:t xml:space="preserve"> = </w:t>
      </w:r>
      <w:r w:rsidRPr="00C11F85">
        <w:rPr>
          <w:rFonts w:ascii="Cambria" w:hAnsi="Cambria"/>
          <w:i/>
        </w:rPr>
        <w:t>h</w:t>
      </w:r>
      <w:r w:rsidRPr="00C11F85">
        <w:rPr>
          <w:rFonts w:ascii="Symbol" w:hAnsi="Symbol"/>
        </w:rPr>
        <w:t></w:t>
      </w:r>
      <w:r>
        <w:rPr>
          <w:rFonts w:ascii="Symbol" w:hAnsi="Symbol"/>
        </w:rPr>
        <w:tab/>
      </w:r>
      <w:r>
        <w:rPr>
          <w:rFonts w:ascii="Symbol" w:hAnsi="Symbol"/>
        </w:rPr>
        <w:tab/>
      </w:r>
      <w:r>
        <w:rPr>
          <w:rFonts w:ascii="Symbol" w:hAnsi="Symbol"/>
        </w:rPr>
        <w:tab/>
      </w:r>
      <w:r>
        <w:rPr>
          <w:rFonts w:ascii="Symbol" w:hAnsi="Symbol"/>
        </w:rPr>
        <w:tab/>
      </w:r>
      <w:r w:rsidRPr="00C11F85">
        <w:t></w:t>
      </w:r>
      <w:r w:rsidRPr="00C11F85">
        <w:t></w:t>
      </w:r>
      <w:r w:rsidRPr="00C11F85">
        <w:t></w:t>
      </w:r>
    </w:p>
    <w:p w14:paraId="260AF774" w14:textId="00930E32" w:rsidR="00F71C1E" w:rsidRDefault="00C11F85" w:rsidP="00306B1D">
      <w:pPr>
        <w:jc w:val="both"/>
      </w:pPr>
      <w:r>
        <w:t xml:space="preserve">An electron moves between the two </w:t>
      </w:r>
      <w:r>
        <w:rPr>
          <w:i/>
        </w:rPr>
        <w:t>m</w:t>
      </w:r>
      <w:r>
        <w:rPr>
          <w:i/>
          <w:vertAlign w:val="subscript"/>
        </w:rPr>
        <w:t>s</w:t>
      </w:r>
      <w:r>
        <w:rPr>
          <w:i/>
        </w:rPr>
        <w:t xml:space="preserve"> </w:t>
      </w:r>
      <w:r w:rsidRPr="00C11F85">
        <w:t>states</w:t>
      </w:r>
      <w:r w:rsidR="00523B6D">
        <w:t xml:space="preserve"> upon emiss</w:t>
      </w:r>
      <w:r w:rsidR="009E59B8">
        <w:t>ion or absorption</w:t>
      </w:r>
      <w:r>
        <w:t xml:space="preserve"> a photon with energy </w:t>
      </w:r>
      <w:r>
        <w:rPr>
          <w:rFonts w:ascii="Symbol" w:hAnsi="Symbol"/>
        </w:rPr>
        <w:t></w:t>
      </w:r>
      <w:r>
        <w:rPr>
          <w:rFonts w:ascii="Cambria" w:hAnsi="Cambria"/>
          <w:i/>
        </w:rPr>
        <w:t xml:space="preserve">E </w:t>
      </w:r>
      <w:r w:rsidRPr="00C11F85">
        <w:rPr>
          <w:rFonts w:ascii="Cambria" w:hAnsi="Cambria"/>
        </w:rPr>
        <w:t xml:space="preserve">= </w:t>
      </w:r>
      <w:r w:rsidRPr="00C11F85">
        <w:rPr>
          <w:rFonts w:ascii="Cambria" w:hAnsi="Cambria"/>
          <w:i/>
        </w:rPr>
        <w:t>h</w:t>
      </w:r>
      <w:r w:rsidRPr="00C11F85">
        <w:rPr>
          <w:rFonts w:ascii="Symbol" w:hAnsi="Symbol"/>
        </w:rPr>
        <w:t></w:t>
      </w:r>
      <w:r>
        <w:t xml:space="preserve"> </w:t>
      </w:r>
      <w:r w:rsidR="00F71C1E">
        <w:t>Equation 2 applies to a single</w:t>
      </w:r>
      <w:r w:rsidR="00645F54">
        <w:t>,</w:t>
      </w:r>
      <w:r w:rsidR="00D53BEA">
        <w:t xml:space="preserve"> free-</w:t>
      </w:r>
      <w:r w:rsidR="00F71C1E">
        <w:t xml:space="preserve">electron. However, </w:t>
      </w:r>
      <w:r w:rsidR="00CB0456">
        <w:t xml:space="preserve">similar to the way that the chemical shift in </w:t>
      </w:r>
      <w:r w:rsidR="00CB0456">
        <w:rPr>
          <w:vertAlign w:val="superscript"/>
        </w:rPr>
        <w:t>1</w:t>
      </w:r>
      <w:r w:rsidR="00CB0456">
        <w:t xml:space="preserve">H NMR depends on the chemical environment of the H atom, </w:t>
      </w:r>
      <w:r w:rsidR="00F71C1E">
        <w:t>electrons within molecules do not behave in the same way as an i</w:t>
      </w:r>
      <w:r w:rsidR="00645F54">
        <w:t>solated electron. The electric</w:t>
      </w:r>
      <w:r w:rsidR="00F71C1E">
        <w:t xml:space="preserve"> field gradient of the molecule will influen</w:t>
      </w:r>
      <w:r w:rsidR="00D53BEA">
        <w:t xml:space="preserve">ce the effective magnetic field, given by </w:t>
      </w:r>
      <w:r w:rsidR="00D53BEA" w:rsidRPr="00D53BEA">
        <w:rPr>
          <w:b/>
        </w:rPr>
        <w:t>equation 3</w:t>
      </w:r>
      <w:r w:rsidR="00D53BEA">
        <w:t>.</w:t>
      </w:r>
    </w:p>
    <w:p w14:paraId="6ECF77BB" w14:textId="5CDDBADD" w:rsidR="00F71C1E" w:rsidRDefault="00F71C1E" w:rsidP="00306B1D">
      <w:pPr>
        <w:jc w:val="both"/>
        <w:rPr>
          <w:rFonts w:ascii="Cambria" w:hAnsi="Cambria"/>
        </w:rPr>
      </w:pPr>
      <w:r>
        <w:tab/>
      </w:r>
      <w:r>
        <w:tab/>
      </w:r>
      <w:r>
        <w:rPr>
          <w:i/>
        </w:rPr>
        <w:t>B</w:t>
      </w:r>
      <w:r>
        <w:rPr>
          <w:vertAlign w:val="subscript"/>
        </w:rPr>
        <w:t>eff</w:t>
      </w:r>
      <w:r>
        <w:t xml:space="preserve"> = </w:t>
      </w:r>
      <w:r w:rsidR="00645F54">
        <w:rPr>
          <w:rFonts w:ascii="Cambria" w:hAnsi="Cambria"/>
          <w:i/>
        </w:rPr>
        <w:t>B</w:t>
      </w:r>
      <w:r w:rsidR="00645F54" w:rsidRPr="00306B1D">
        <w:rPr>
          <w:rFonts w:ascii="Cambria" w:hAnsi="Cambria"/>
          <w:vertAlign w:val="subscript"/>
        </w:rPr>
        <w:t>0</w:t>
      </w:r>
      <w:r w:rsidR="00645F54">
        <w:rPr>
          <w:rFonts w:ascii="Cambria" w:hAnsi="Cambria"/>
        </w:rPr>
        <w:t xml:space="preserve"> (1 – </w:t>
      </w:r>
      <w:r w:rsidR="00645F54" w:rsidRPr="00645F54">
        <w:rPr>
          <w:rFonts w:ascii="Symbol" w:hAnsi="Symbol"/>
        </w:rPr>
        <w:t></w:t>
      </w:r>
      <w:r w:rsidR="00645F54">
        <w:rPr>
          <w:rFonts w:ascii="Cambria" w:hAnsi="Cambria"/>
        </w:rPr>
        <w:t>)</w:t>
      </w:r>
      <w:r w:rsidR="00645F54">
        <w:rPr>
          <w:rFonts w:ascii="Cambria" w:hAnsi="Cambria"/>
        </w:rPr>
        <w:tab/>
      </w:r>
      <w:r w:rsidR="00645F54">
        <w:rPr>
          <w:rFonts w:ascii="Cambria" w:hAnsi="Cambria"/>
        </w:rPr>
        <w:tab/>
      </w:r>
      <w:r w:rsidR="00645F54">
        <w:rPr>
          <w:rFonts w:ascii="Cambria" w:hAnsi="Cambria"/>
        </w:rPr>
        <w:tab/>
      </w:r>
      <w:r w:rsidR="00645F54">
        <w:rPr>
          <w:rFonts w:ascii="Cambria" w:hAnsi="Cambria"/>
        </w:rPr>
        <w:tab/>
      </w:r>
      <w:r w:rsidR="00645F54">
        <w:rPr>
          <w:rFonts w:ascii="Cambria" w:hAnsi="Cambria"/>
        </w:rPr>
        <w:tab/>
      </w:r>
      <w:r w:rsidR="00645F54">
        <w:rPr>
          <w:rFonts w:ascii="Cambria" w:hAnsi="Cambria"/>
        </w:rPr>
        <w:tab/>
        <w:t>(3)</w:t>
      </w:r>
    </w:p>
    <w:p w14:paraId="2AA1B741" w14:textId="6A9E741B" w:rsidR="00645F54" w:rsidRDefault="00645F54" w:rsidP="00306B1D">
      <w:pPr>
        <w:jc w:val="both"/>
      </w:pPr>
      <w:r>
        <w:rPr>
          <w:rFonts w:ascii="Cambria" w:hAnsi="Cambria"/>
        </w:rPr>
        <w:tab/>
      </w:r>
      <w:r>
        <w:rPr>
          <w:rFonts w:ascii="Cambria" w:hAnsi="Cambria"/>
        </w:rPr>
        <w:tab/>
        <w:t xml:space="preserve">where </w:t>
      </w:r>
      <w:r w:rsidRPr="00645F54">
        <w:rPr>
          <w:rFonts w:ascii="Symbol" w:hAnsi="Symbol"/>
        </w:rPr>
        <w:t></w:t>
      </w:r>
      <w:r>
        <w:t xml:space="preserve"> = effect of local fields, which can be a + or – value</w:t>
      </w:r>
    </w:p>
    <w:p w14:paraId="33AF640F" w14:textId="133D8333" w:rsidR="00645F54" w:rsidRDefault="00645F54" w:rsidP="00306B1D">
      <w:pPr>
        <w:jc w:val="both"/>
        <w:rPr>
          <w:rFonts w:ascii="Cambria" w:hAnsi="Cambria"/>
        </w:rPr>
      </w:pPr>
      <w:r>
        <w:t xml:space="preserve">Plugging </w:t>
      </w:r>
      <w:r w:rsidRPr="00645F54">
        <w:rPr>
          <w:b/>
        </w:rPr>
        <w:t>equation 3</w:t>
      </w:r>
      <w:r>
        <w:t xml:space="preserve"> into </w:t>
      </w:r>
      <w:r w:rsidRPr="00645F54">
        <w:rPr>
          <w:b/>
        </w:rPr>
        <w:t>equation 2</w:t>
      </w:r>
      <w:r>
        <w:t xml:space="preserve">, we can define the </w:t>
      </w:r>
      <w:r w:rsidRPr="00645F54">
        <w:rPr>
          <w:i/>
        </w:rPr>
        <w:t>g</w:t>
      </w:r>
      <w:r w:rsidR="00D53BEA">
        <w:t>-factor for an unpaired electron in</w:t>
      </w:r>
      <w:r>
        <w:t xml:space="preserve"> a given molecule as </w:t>
      </w:r>
      <w:r>
        <w:rPr>
          <w:i/>
        </w:rPr>
        <w:t>g</w:t>
      </w:r>
      <w:r>
        <w:t xml:space="preserve"> = </w:t>
      </w:r>
      <w:r>
        <w:rPr>
          <w:rFonts w:ascii="Cambria" w:hAnsi="Cambria"/>
          <w:i/>
        </w:rPr>
        <w:t>g</w:t>
      </w:r>
      <w:r>
        <w:rPr>
          <w:rFonts w:ascii="Cambria" w:hAnsi="Cambria"/>
          <w:i/>
          <w:vertAlign w:val="subscript"/>
        </w:rPr>
        <w:t>e</w:t>
      </w:r>
      <w:r>
        <w:rPr>
          <w:rFonts w:ascii="Cambria" w:hAnsi="Cambria"/>
        </w:rPr>
        <w:t xml:space="preserve">(1 – </w:t>
      </w:r>
      <w:r w:rsidRPr="00645F54">
        <w:rPr>
          <w:rFonts w:ascii="Symbol" w:hAnsi="Symbol"/>
        </w:rPr>
        <w:t></w:t>
      </w:r>
      <w:r>
        <w:rPr>
          <w:rFonts w:ascii="Cambria" w:hAnsi="Cambria"/>
        </w:rPr>
        <w:t>), which simplifies</w:t>
      </w:r>
      <w:r w:rsidR="00523B6D">
        <w:rPr>
          <w:rFonts w:ascii="Cambria" w:hAnsi="Cambria"/>
        </w:rPr>
        <w:t xml:space="preserve"> the overall equation</w:t>
      </w:r>
      <w:r>
        <w:rPr>
          <w:rFonts w:ascii="Cambria" w:hAnsi="Cambria"/>
        </w:rPr>
        <w:t xml:space="preserve"> to:</w:t>
      </w:r>
    </w:p>
    <w:p w14:paraId="2A5B0D2D" w14:textId="129A1729" w:rsidR="00645F54" w:rsidRDefault="00645F54" w:rsidP="00306B1D">
      <w:pPr>
        <w:jc w:val="both"/>
        <w:rPr>
          <w:rFonts w:ascii="Cambria" w:hAnsi="Cambria"/>
        </w:rPr>
      </w:pPr>
      <w:r>
        <w:rPr>
          <w:rFonts w:ascii="Cambria" w:hAnsi="Cambria"/>
        </w:rPr>
        <w:lastRenderedPageBreak/>
        <w:tab/>
      </w:r>
      <w:r>
        <w:rPr>
          <w:rFonts w:ascii="Cambria" w:hAnsi="Cambria"/>
        </w:rPr>
        <w:tab/>
      </w:r>
      <w:r w:rsidRPr="00C11F85">
        <w:rPr>
          <w:rFonts w:ascii="Cambria" w:hAnsi="Cambria"/>
          <w:i/>
        </w:rPr>
        <w:t>h</w:t>
      </w:r>
      <w:r w:rsidRPr="00C11F85">
        <w:rPr>
          <w:rFonts w:ascii="Symbol" w:hAnsi="Symbol"/>
        </w:rPr>
        <w:t></w:t>
      </w:r>
      <w:r w:rsidRPr="00645F54">
        <w:t></w:t>
      </w:r>
      <w:r w:rsidRPr="00645F54">
        <w:t></w:t>
      </w:r>
      <w:r w:rsidRPr="00645F54">
        <w:t></w:t>
      </w:r>
      <w:r>
        <w:rPr>
          <w:rFonts w:ascii="Cambria" w:hAnsi="Cambria"/>
          <w:i/>
        </w:rPr>
        <w:t>g</w:t>
      </w:r>
      <w:r>
        <w:rPr>
          <w:rFonts w:ascii="Symbol" w:hAnsi="Symbol"/>
          <w:i/>
        </w:rPr>
        <w:t></w:t>
      </w:r>
      <w:r w:rsidRPr="00306B1D">
        <w:rPr>
          <w:rFonts w:ascii="Cambria" w:hAnsi="Cambria"/>
          <w:vertAlign w:val="subscript"/>
        </w:rPr>
        <w:t>B</w:t>
      </w:r>
      <w:r>
        <w:rPr>
          <w:rFonts w:ascii="Cambria" w:hAnsi="Cambria"/>
          <w:i/>
        </w:rPr>
        <w:t>B</w:t>
      </w:r>
      <w:r w:rsidRPr="00306B1D">
        <w:rPr>
          <w:rFonts w:ascii="Cambria" w:hAnsi="Cambria"/>
          <w:vertAlign w:val="subscript"/>
        </w:rPr>
        <w:t>0</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(4)</w:t>
      </w:r>
    </w:p>
    <w:p w14:paraId="2AAEE529" w14:textId="286D930E" w:rsidR="00645F54" w:rsidRDefault="004C7DF5" w:rsidP="00306B1D">
      <w:pPr>
        <w:jc w:val="both"/>
        <w:rPr>
          <w:rFonts w:ascii="Cambria" w:hAnsi="Cambria"/>
        </w:rPr>
      </w:pPr>
      <w:r>
        <w:t>During the EPR experiment, the frequency is swept, most commonly in the microwave region ranging from</w:t>
      </w:r>
      <w:r w:rsidRPr="00F71C1E">
        <w:t xml:space="preserve"> 9000–10000 MHz</w:t>
      </w:r>
      <w:r>
        <w:t xml:space="preserve">, and the field is held constant, around 0.35 T, allowing for the calculation of </w:t>
      </w:r>
      <w:r w:rsidRPr="004C7DF5">
        <w:rPr>
          <w:i/>
        </w:rPr>
        <w:t>g</w:t>
      </w:r>
      <w:r>
        <w:t xml:space="preserve">. </w:t>
      </w:r>
      <w:r w:rsidR="00645F54">
        <w:rPr>
          <w:rFonts w:ascii="Cambria" w:hAnsi="Cambria"/>
        </w:rPr>
        <w:t xml:space="preserve">Experimentally determining </w:t>
      </w:r>
      <w:r w:rsidR="00645F54">
        <w:rPr>
          <w:rFonts w:ascii="Cambria" w:hAnsi="Cambria"/>
          <w:i/>
        </w:rPr>
        <w:t>g</w:t>
      </w:r>
      <w:r w:rsidR="00645F54">
        <w:rPr>
          <w:rFonts w:ascii="Cambria" w:hAnsi="Cambria"/>
        </w:rPr>
        <w:t xml:space="preserve"> using EPR provides information about </w:t>
      </w:r>
      <w:r w:rsidR="00D53BEA">
        <w:rPr>
          <w:rFonts w:ascii="Cambria" w:hAnsi="Cambria"/>
        </w:rPr>
        <w:t>the electronic structure of a paramagnetic molecule.</w:t>
      </w:r>
      <w:r w:rsidR="00EF76B4">
        <w:rPr>
          <w:rFonts w:ascii="Cambria" w:hAnsi="Cambria"/>
        </w:rPr>
        <w:t xml:space="preserve"> </w:t>
      </w:r>
    </w:p>
    <w:p w14:paraId="2991A8A3" w14:textId="77777777" w:rsidR="00553205" w:rsidRPr="00553205" w:rsidRDefault="0038165F" w:rsidP="00306B1D">
      <w:pPr>
        <w:jc w:val="both"/>
        <w:rPr>
          <w:rFonts w:ascii="Cambria" w:hAnsi="Cambria"/>
          <w:i/>
        </w:rPr>
      </w:pPr>
      <w:r w:rsidRPr="00553205">
        <w:rPr>
          <w:rFonts w:ascii="Cambria" w:hAnsi="Cambria"/>
          <w:i/>
        </w:rPr>
        <w:t xml:space="preserve">Application of EPR </w:t>
      </w:r>
    </w:p>
    <w:p w14:paraId="177F39AF" w14:textId="53FF4610" w:rsidR="001F733F" w:rsidRDefault="001F733F" w:rsidP="00306B1D">
      <w:pPr>
        <w:jc w:val="both"/>
        <w:rPr>
          <w:rFonts w:ascii="Cambria" w:hAnsi="Cambria"/>
        </w:rPr>
      </w:pPr>
      <w:r>
        <w:rPr>
          <w:rFonts w:ascii="Cambria" w:hAnsi="Cambria"/>
        </w:rPr>
        <w:t>In this experiment, we will use EPR spectroscopy to investigate the chemistry of anti-oxidants. O</w:t>
      </w:r>
      <w:r>
        <w:rPr>
          <w:rFonts w:ascii="Cambria" w:hAnsi="Cambria"/>
          <w:vertAlign w:val="subscript"/>
        </w:rPr>
        <w:t>2</w:t>
      </w:r>
      <w:r>
        <w:rPr>
          <w:rFonts w:ascii="Cambria" w:hAnsi="Cambria"/>
        </w:rPr>
        <w:t xml:space="preserve">, which comprises ~21% of the earth’s atmosphere, is a strong oxidant. </w:t>
      </w:r>
      <w:r w:rsidR="00CB0456">
        <w:rPr>
          <w:rFonts w:ascii="Cambria" w:hAnsi="Cambria"/>
        </w:rPr>
        <w:t xml:space="preserve">Despite its potential to act as an oxidant, </w:t>
      </w:r>
      <w:r>
        <w:rPr>
          <w:rFonts w:ascii="Cambria" w:hAnsi="Cambria"/>
        </w:rPr>
        <w:t>O</w:t>
      </w:r>
      <w:r>
        <w:rPr>
          <w:rFonts w:ascii="Cambria" w:hAnsi="Cambria"/>
          <w:vertAlign w:val="subscript"/>
        </w:rPr>
        <w:t>2</w:t>
      </w:r>
      <w:r>
        <w:rPr>
          <w:rFonts w:ascii="Cambria" w:hAnsi="Cambria"/>
        </w:rPr>
        <w:t xml:space="preserve"> is a ground state triplet and thus only reacts</w:t>
      </w:r>
      <w:r w:rsidR="00CB0456">
        <w:rPr>
          <w:rFonts w:ascii="Cambria" w:hAnsi="Cambria"/>
        </w:rPr>
        <w:t xml:space="preserve"> quite slowly</w:t>
      </w:r>
      <w:r>
        <w:rPr>
          <w:rFonts w:ascii="Cambria" w:hAnsi="Cambria"/>
        </w:rPr>
        <w:t xml:space="preserve"> with most organic molecules</w:t>
      </w:r>
      <w:r w:rsidR="00CB0456">
        <w:rPr>
          <w:rFonts w:ascii="Cambria" w:hAnsi="Cambria"/>
        </w:rPr>
        <w:t>.</w:t>
      </w:r>
      <w:r>
        <w:rPr>
          <w:rFonts w:ascii="Cambria" w:hAnsi="Cambria"/>
        </w:rPr>
        <w:t xml:space="preserve"> One important, </w:t>
      </w:r>
      <w:r w:rsidR="00CB0456">
        <w:rPr>
          <w:rFonts w:ascii="Cambria" w:hAnsi="Cambria"/>
        </w:rPr>
        <w:t xml:space="preserve">though </w:t>
      </w:r>
      <w:r>
        <w:rPr>
          <w:rFonts w:ascii="Cambria" w:hAnsi="Cambria"/>
        </w:rPr>
        <w:t>often undesired, reaction mediated by O</w:t>
      </w:r>
      <w:r>
        <w:rPr>
          <w:rFonts w:ascii="Cambria" w:hAnsi="Cambria"/>
          <w:vertAlign w:val="subscript"/>
        </w:rPr>
        <w:t>2</w:t>
      </w:r>
      <w:r>
        <w:rPr>
          <w:rFonts w:ascii="Cambria" w:hAnsi="Cambria"/>
        </w:rPr>
        <w:t xml:space="preserve"> is autoxidation. In autoxidation chemistry, O</w:t>
      </w:r>
      <w:r>
        <w:rPr>
          <w:rFonts w:ascii="Cambria" w:hAnsi="Cambria"/>
          <w:vertAlign w:val="subscript"/>
        </w:rPr>
        <w:t>2</w:t>
      </w:r>
      <w:r>
        <w:rPr>
          <w:rFonts w:ascii="Cambria" w:hAnsi="Cambria"/>
        </w:rPr>
        <w:t xml:space="preserve"> ini</w:t>
      </w:r>
      <w:r w:rsidR="00B1533A">
        <w:rPr>
          <w:rFonts w:ascii="Cambria" w:hAnsi="Cambria"/>
        </w:rPr>
        <w:t>ti</w:t>
      </w:r>
      <w:r>
        <w:rPr>
          <w:rFonts w:ascii="Cambria" w:hAnsi="Cambria"/>
        </w:rPr>
        <w:t xml:space="preserve">ates radical chain processes, which can quickly consume organic molecules. </w:t>
      </w:r>
      <w:r w:rsidR="00C945E3" w:rsidRPr="00553205">
        <w:rPr>
          <w:rFonts w:ascii="Cambria" w:hAnsi="Cambria"/>
          <w:b/>
        </w:rPr>
        <w:t>Figure</w:t>
      </w:r>
      <w:r w:rsidRPr="00553205">
        <w:rPr>
          <w:rFonts w:ascii="Cambria" w:hAnsi="Cambria"/>
          <w:b/>
        </w:rPr>
        <w:t xml:space="preserve"> </w:t>
      </w:r>
      <w:r w:rsidR="00C945E3" w:rsidRPr="00553205">
        <w:rPr>
          <w:rFonts w:ascii="Cambria" w:hAnsi="Cambria"/>
          <w:b/>
        </w:rPr>
        <w:t>2</w:t>
      </w:r>
      <w:r>
        <w:rPr>
          <w:rFonts w:ascii="Cambria" w:hAnsi="Cambria"/>
        </w:rPr>
        <w:t xml:space="preserve"> illustrates a common autoxidation, in which aldehydes are oxidized to </w:t>
      </w:r>
      <w:r w:rsidR="00043BFA">
        <w:rPr>
          <w:rFonts w:ascii="Cambria" w:hAnsi="Cambria"/>
        </w:rPr>
        <w:t>carboxylic acids.</w:t>
      </w:r>
      <w:r>
        <w:rPr>
          <w:rFonts w:ascii="Cambria" w:hAnsi="Cambria"/>
        </w:rPr>
        <w:t xml:space="preserve"> </w:t>
      </w:r>
    </w:p>
    <w:p w14:paraId="2C526468" w14:textId="33999ED6" w:rsidR="000306DF" w:rsidRPr="000306DF" w:rsidRDefault="000306DF" w:rsidP="00306B1D">
      <w:pPr>
        <w:jc w:val="both"/>
      </w:pPr>
      <w:r>
        <w:rPr>
          <w:rFonts w:ascii="Cambria" w:hAnsi="Cambria"/>
        </w:rPr>
        <w:t>Preventing autoxidation chemistry is important to prevent decomposition of many common organic materials, such as plastics, and a large field has developed a</w:t>
      </w:r>
      <w:r w:rsidR="00553205">
        <w:rPr>
          <w:rFonts w:ascii="Cambria" w:hAnsi="Cambria"/>
        </w:rPr>
        <w:t>round identifying effective anti</w:t>
      </w:r>
      <w:r>
        <w:rPr>
          <w:rFonts w:ascii="Cambria" w:hAnsi="Cambria"/>
        </w:rPr>
        <w:t xml:space="preserve">oxidants to inhibit autoxidation. </w:t>
      </w:r>
      <w:r w:rsidR="00CB0456">
        <w:rPr>
          <w:rFonts w:ascii="Cambria" w:hAnsi="Cambria"/>
        </w:rPr>
        <w:t xml:space="preserve">One mechanism by which antioxidants can </w:t>
      </w:r>
      <w:r>
        <w:rPr>
          <w:rFonts w:ascii="Cambria" w:hAnsi="Cambria"/>
        </w:rPr>
        <w:t xml:space="preserve">function </w:t>
      </w:r>
      <w:r w:rsidR="00CB0456">
        <w:rPr>
          <w:rFonts w:ascii="Cambria" w:hAnsi="Cambria"/>
        </w:rPr>
        <w:t xml:space="preserve">is </w:t>
      </w:r>
      <w:r>
        <w:rPr>
          <w:rFonts w:ascii="Cambria" w:hAnsi="Cambria"/>
        </w:rPr>
        <w:t xml:space="preserve">by reacting with the radical intermediates to inhibit radical chain processes. Because radical species have unpaired spins, EPR is a valuable tool for understanding the chemistry of antioxidants. </w:t>
      </w:r>
      <w:r w:rsidR="003E74D7">
        <w:rPr>
          <w:rFonts w:ascii="Cambria" w:hAnsi="Cambria"/>
        </w:rPr>
        <w:t xml:space="preserve">In this experiment, we will use EPR spectroscopy to explore the role of </w:t>
      </w:r>
      <w:r w:rsidR="004348D3">
        <w:rPr>
          <w:rFonts w:ascii="Cambria" w:hAnsi="Cambria"/>
        </w:rPr>
        <w:t>dibutylhydroxy toluene (</w:t>
      </w:r>
      <w:r w:rsidR="003E74D7">
        <w:rPr>
          <w:rFonts w:ascii="Cambria" w:hAnsi="Cambria"/>
        </w:rPr>
        <w:t>BHT</w:t>
      </w:r>
      <w:r w:rsidR="004348D3">
        <w:rPr>
          <w:rFonts w:ascii="Cambria" w:hAnsi="Cambria"/>
        </w:rPr>
        <w:t>)</w:t>
      </w:r>
      <w:r w:rsidR="003E74D7">
        <w:rPr>
          <w:rFonts w:ascii="Cambria" w:hAnsi="Cambria"/>
        </w:rPr>
        <w:t xml:space="preserve"> as an antioxidant in the autoxidation of aliphatic aldehydes.</w:t>
      </w:r>
    </w:p>
    <w:p w14:paraId="09E4F3B8" w14:textId="4229DE2E" w:rsidR="00467282" w:rsidRDefault="000331A6" w:rsidP="00182CC8">
      <w:pPr>
        <w:rPr>
          <w:sz w:val="28"/>
        </w:rPr>
      </w:pPr>
      <w:r w:rsidRPr="00467282">
        <w:rPr>
          <w:b/>
          <w:sz w:val="28"/>
        </w:rPr>
        <w:t>Procedure</w:t>
      </w:r>
      <w:r w:rsidR="00467282" w:rsidRPr="00467282">
        <w:rPr>
          <w:sz w:val="28"/>
        </w:rPr>
        <w:t xml:space="preserve"> </w:t>
      </w:r>
    </w:p>
    <w:p w14:paraId="1532A70E" w14:textId="459F751D" w:rsidR="00C70415" w:rsidRDefault="00C70415" w:rsidP="00C70415">
      <w:pPr>
        <w:pStyle w:val="ListParagraph"/>
        <w:widowControl w:val="0"/>
        <w:numPr>
          <w:ilvl w:val="0"/>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 xml:space="preserve">Autoxidation of butyraldehyde. </w:t>
      </w:r>
    </w:p>
    <w:p w14:paraId="533F9276" w14:textId="77777777" w:rsidR="00C70415" w:rsidRDefault="00C70415" w:rsidP="00C70415">
      <w:pPr>
        <w:pStyle w:val="ListParagraph"/>
        <w:widowControl w:val="0"/>
        <w:autoSpaceDE w:val="0"/>
        <w:autoSpaceDN w:val="0"/>
        <w:adjustRightInd w:val="0"/>
        <w:spacing w:after="0"/>
        <w:ind w:left="360"/>
        <w:jc w:val="both"/>
        <w:rPr>
          <w:rFonts w:ascii="Cambria" w:hAnsi="Cambria" w:cs="Times New Roman"/>
          <w:lang w:val="en-GB"/>
        </w:rPr>
      </w:pPr>
    </w:p>
    <w:p w14:paraId="2C892BA5" w14:textId="75A4BD44" w:rsidR="005F41B1" w:rsidRPr="00A37D9F" w:rsidRDefault="00C70415" w:rsidP="00C70415">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Prep</w:t>
      </w:r>
      <w:r w:rsidR="005F41B1">
        <w:rPr>
          <w:rFonts w:ascii="Cambria" w:hAnsi="Cambria" w:cs="Times New Roman"/>
        </w:rPr>
        <w:t>are a solution of butyraldehyde</w:t>
      </w:r>
      <w:r w:rsidR="00CB0456">
        <w:rPr>
          <w:rFonts w:ascii="Cambria" w:hAnsi="Cambria" w:cs="Times New Roman"/>
        </w:rPr>
        <w:t xml:space="preserve"> (100 mg)</w:t>
      </w:r>
      <w:r w:rsidR="005F41B1">
        <w:rPr>
          <w:rFonts w:ascii="Cambria" w:hAnsi="Cambria" w:cs="Times New Roman"/>
        </w:rPr>
        <w:t xml:space="preserve"> and</w:t>
      </w:r>
      <w:r>
        <w:rPr>
          <w:rFonts w:ascii="Cambria" w:hAnsi="Cambria" w:cs="Times New Roman"/>
        </w:rPr>
        <w:t xml:space="preserve"> CoCl</w:t>
      </w:r>
      <w:r>
        <w:rPr>
          <w:rFonts w:ascii="Cambria" w:hAnsi="Cambria" w:cs="Times New Roman"/>
          <w:vertAlign w:val="subscript"/>
        </w:rPr>
        <w:t>2</w:t>
      </w:r>
      <w:r w:rsidR="00CB0456">
        <w:rPr>
          <w:rFonts w:ascii="Cambria" w:hAnsi="Cambria" w:cs="Times New Roman"/>
        </w:rPr>
        <w:t>·6H</w:t>
      </w:r>
      <w:r w:rsidR="00CB0456">
        <w:rPr>
          <w:rFonts w:ascii="Cambria" w:hAnsi="Cambria" w:cs="Times New Roman"/>
          <w:vertAlign w:val="subscript"/>
        </w:rPr>
        <w:t>2</w:t>
      </w:r>
      <w:r w:rsidR="00CB0456">
        <w:rPr>
          <w:rFonts w:ascii="Cambria" w:hAnsi="Cambria" w:cs="Times New Roman"/>
        </w:rPr>
        <w:t xml:space="preserve">O (1 mg) </w:t>
      </w:r>
      <w:r w:rsidR="005F41B1">
        <w:rPr>
          <w:rFonts w:ascii="Cambria" w:hAnsi="Cambria" w:cs="Times New Roman"/>
        </w:rPr>
        <w:t>in 1,2-dichloroethane</w:t>
      </w:r>
      <w:r w:rsidR="00CB0456">
        <w:rPr>
          <w:rFonts w:ascii="Cambria" w:hAnsi="Cambria" w:cs="Times New Roman"/>
        </w:rPr>
        <w:t xml:space="preserve"> (4 mL)</w:t>
      </w:r>
      <w:r w:rsidR="005F41B1">
        <w:rPr>
          <w:rFonts w:ascii="Cambria" w:hAnsi="Cambria" w:cs="Times New Roman"/>
        </w:rPr>
        <w:t xml:space="preserve"> in a 20-mL scintillation vial. Add a magnetic stir bar and fit the vial with a rubber septum.</w:t>
      </w:r>
    </w:p>
    <w:p w14:paraId="0C95A7C9" w14:textId="77777777" w:rsidR="005F41B1" w:rsidRPr="00A37D9F" w:rsidRDefault="005F41B1" w:rsidP="00A37D9F">
      <w:pPr>
        <w:pStyle w:val="ListParagraph"/>
        <w:widowControl w:val="0"/>
        <w:autoSpaceDE w:val="0"/>
        <w:autoSpaceDN w:val="0"/>
        <w:adjustRightInd w:val="0"/>
        <w:spacing w:after="0"/>
        <w:ind w:left="1242"/>
        <w:jc w:val="both"/>
        <w:rPr>
          <w:rFonts w:ascii="Cambria" w:hAnsi="Cambria" w:cs="Times New Roman"/>
          <w:lang w:val="en-GB"/>
        </w:rPr>
      </w:pPr>
    </w:p>
    <w:p w14:paraId="48E2928E" w14:textId="697D61F3" w:rsidR="00C70415" w:rsidRPr="0062061A" w:rsidRDefault="00F358F2" w:rsidP="00C70415">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 xml:space="preserve">Attach the barrel of a 1-mL plastic syringe to a short piece of rubber tubing. Insert the rubber tubing into a latex balloon and secure the balloon to the tube with a rubber band and electrical tape. </w:t>
      </w:r>
      <w:r w:rsidR="005F41B1">
        <w:rPr>
          <w:rFonts w:ascii="Cambria" w:hAnsi="Cambria" w:cs="Times New Roman"/>
        </w:rPr>
        <w:t xml:space="preserve">Inflate a </w:t>
      </w:r>
      <w:r>
        <w:rPr>
          <w:rFonts w:ascii="Cambria" w:hAnsi="Cambria" w:cs="Times New Roman"/>
        </w:rPr>
        <w:t>latex balloon with O</w:t>
      </w:r>
      <w:r>
        <w:rPr>
          <w:rFonts w:ascii="Cambria" w:hAnsi="Cambria" w:cs="Times New Roman"/>
          <w:vertAlign w:val="subscript"/>
        </w:rPr>
        <w:t>2</w:t>
      </w:r>
      <w:r>
        <w:rPr>
          <w:rFonts w:ascii="Cambria" w:hAnsi="Cambria" w:cs="Times New Roman"/>
        </w:rPr>
        <w:t>.</w:t>
      </w:r>
    </w:p>
    <w:p w14:paraId="371D3BAF" w14:textId="77777777" w:rsidR="00C70415" w:rsidRPr="005F6BA4" w:rsidRDefault="00C70415" w:rsidP="00C70415">
      <w:pPr>
        <w:pStyle w:val="ListParagraph"/>
        <w:widowControl w:val="0"/>
        <w:autoSpaceDE w:val="0"/>
        <w:autoSpaceDN w:val="0"/>
        <w:adjustRightInd w:val="0"/>
        <w:spacing w:after="0"/>
        <w:ind w:left="1242"/>
        <w:jc w:val="both"/>
        <w:rPr>
          <w:rFonts w:ascii="Cambria" w:hAnsi="Cambria" w:cs="Times New Roman"/>
          <w:lang w:val="en-GB"/>
        </w:rPr>
      </w:pPr>
    </w:p>
    <w:p w14:paraId="77878A34" w14:textId="4BFDC719" w:rsidR="00C70415" w:rsidRPr="00A37D9F" w:rsidRDefault="00F358F2" w:rsidP="00C70415">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Insert the needle of the O</w:t>
      </w:r>
      <w:r>
        <w:rPr>
          <w:rFonts w:ascii="Cambria" w:hAnsi="Cambria" w:cs="Times New Roman"/>
          <w:vertAlign w:val="subscript"/>
        </w:rPr>
        <w:t>2</w:t>
      </w:r>
      <w:r>
        <w:rPr>
          <w:rFonts w:ascii="Cambria" w:hAnsi="Cambria" w:cs="Times New Roman"/>
        </w:rPr>
        <w:t xml:space="preserve"> balloon into the reaction vial. Insert a second needle into the septum and purge the head</w:t>
      </w:r>
      <w:r w:rsidR="00CB0456">
        <w:rPr>
          <w:rFonts w:ascii="Cambria" w:hAnsi="Cambria" w:cs="Times New Roman"/>
        </w:rPr>
        <w:t>-</w:t>
      </w:r>
      <w:r>
        <w:rPr>
          <w:rFonts w:ascii="Cambria" w:hAnsi="Cambria" w:cs="Times New Roman"/>
        </w:rPr>
        <w:t>space of the reaction vessel with O</w:t>
      </w:r>
      <w:r>
        <w:rPr>
          <w:rFonts w:ascii="Cambria" w:hAnsi="Cambria" w:cs="Times New Roman"/>
          <w:vertAlign w:val="subscript"/>
        </w:rPr>
        <w:t>2</w:t>
      </w:r>
      <w:r>
        <w:rPr>
          <w:rFonts w:ascii="Cambria" w:hAnsi="Cambria" w:cs="Times New Roman"/>
        </w:rPr>
        <w:t xml:space="preserve">. </w:t>
      </w:r>
    </w:p>
    <w:p w14:paraId="0718BDB2" w14:textId="77777777" w:rsidR="00F358F2" w:rsidRPr="00A37D9F" w:rsidRDefault="00F358F2" w:rsidP="00A37D9F">
      <w:pPr>
        <w:widowControl w:val="0"/>
        <w:autoSpaceDE w:val="0"/>
        <w:autoSpaceDN w:val="0"/>
        <w:adjustRightInd w:val="0"/>
        <w:spacing w:after="0"/>
        <w:jc w:val="both"/>
        <w:rPr>
          <w:rFonts w:ascii="Cambria" w:hAnsi="Cambria" w:cs="Times New Roman"/>
          <w:lang w:val="en-GB"/>
        </w:rPr>
      </w:pPr>
    </w:p>
    <w:p w14:paraId="0BDBB76E" w14:textId="7BC7F8A8" w:rsidR="00F358F2" w:rsidRPr="00172B11" w:rsidRDefault="00F358F2" w:rsidP="00C70415">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Using a stir plate, stir the reaction at room temperature for 4 hours under an O</w:t>
      </w:r>
      <w:r>
        <w:rPr>
          <w:rFonts w:ascii="Cambria" w:hAnsi="Cambria" w:cs="Times New Roman"/>
          <w:vertAlign w:val="subscript"/>
          <w:lang w:val="en-GB"/>
        </w:rPr>
        <w:t>2</w:t>
      </w:r>
      <w:r>
        <w:rPr>
          <w:rFonts w:ascii="Cambria" w:hAnsi="Cambria" w:cs="Times New Roman"/>
          <w:lang w:val="en-GB"/>
        </w:rPr>
        <w:t xml:space="preserve"> atmosphere.</w:t>
      </w:r>
    </w:p>
    <w:p w14:paraId="5619EC80" w14:textId="77777777" w:rsidR="00C70415" w:rsidRPr="00172B11" w:rsidRDefault="00C70415" w:rsidP="00C70415">
      <w:pPr>
        <w:widowControl w:val="0"/>
        <w:autoSpaceDE w:val="0"/>
        <w:autoSpaceDN w:val="0"/>
        <w:adjustRightInd w:val="0"/>
        <w:spacing w:after="0"/>
        <w:jc w:val="both"/>
        <w:rPr>
          <w:rFonts w:ascii="Cambria" w:hAnsi="Cambria" w:cs="Times New Roman"/>
          <w:lang w:val="en-GB"/>
        </w:rPr>
      </w:pPr>
    </w:p>
    <w:p w14:paraId="38C6A366" w14:textId="62A4AE18" w:rsidR="00C70415" w:rsidRPr="006A6327" w:rsidRDefault="00F358F2" w:rsidP="00C70415">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 xml:space="preserve">Concentrate the reaction mixture using a rotary evaporator and take a </w:t>
      </w:r>
      <w:r>
        <w:rPr>
          <w:rFonts w:ascii="Cambria" w:hAnsi="Cambria" w:cs="Times New Roman"/>
          <w:vertAlign w:val="superscript"/>
          <w:lang w:val="en-GB"/>
        </w:rPr>
        <w:t>1</w:t>
      </w:r>
      <w:r>
        <w:rPr>
          <w:rFonts w:ascii="Cambria" w:hAnsi="Cambria" w:cs="Times New Roman"/>
          <w:lang w:val="en-GB"/>
        </w:rPr>
        <w:t>H NMR spectrum of the resulting oily residue in CDCl</w:t>
      </w:r>
      <w:r>
        <w:rPr>
          <w:rFonts w:ascii="Cambria" w:hAnsi="Cambria" w:cs="Times New Roman"/>
          <w:vertAlign w:val="subscript"/>
          <w:lang w:val="en-GB"/>
        </w:rPr>
        <w:t>3</w:t>
      </w:r>
      <w:r>
        <w:rPr>
          <w:rFonts w:ascii="Cambria" w:hAnsi="Cambria" w:cs="Times New Roman"/>
          <w:lang w:val="en-GB"/>
        </w:rPr>
        <w:t>.</w:t>
      </w:r>
    </w:p>
    <w:p w14:paraId="37775BEB" w14:textId="77777777" w:rsidR="00C70415" w:rsidRDefault="00C70415" w:rsidP="00C70415">
      <w:pPr>
        <w:pStyle w:val="ListParagraph"/>
        <w:widowControl w:val="0"/>
        <w:autoSpaceDE w:val="0"/>
        <w:autoSpaceDN w:val="0"/>
        <w:adjustRightInd w:val="0"/>
        <w:spacing w:after="0"/>
        <w:ind w:left="360"/>
        <w:jc w:val="both"/>
        <w:rPr>
          <w:rFonts w:ascii="Cambria" w:hAnsi="Cambria" w:cs="Times New Roman"/>
          <w:lang w:val="en-GB"/>
        </w:rPr>
      </w:pPr>
    </w:p>
    <w:p w14:paraId="68E4F8E0" w14:textId="3B9D058F" w:rsidR="00562D2C" w:rsidRDefault="00562D2C" w:rsidP="00562D2C">
      <w:pPr>
        <w:pStyle w:val="ListParagraph"/>
        <w:widowControl w:val="0"/>
        <w:numPr>
          <w:ilvl w:val="0"/>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lastRenderedPageBreak/>
        <w:t>Using BHT as an antioxidant for the autoxidation of butyraldehyde.</w:t>
      </w:r>
      <w:r w:rsidR="00DD50FC">
        <w:rPr>
          <w:rFonts w:ascii="Cambria" w:hAnsi="Cambria" w:cs="Times New Roman"/>
          <w:lang w:val="en-GB"/>
        </w:rPr>
        <w:t xml:space="preserve"> Set up TWO vials as described below. One will be used to </w:t>
      </w:r>
      <w:r w:rsidR="003F36C7">
        <w:rPr>
          <w:rFonts w:ascii="Cambria" w:hAnsi="Cambria" w:cs="Times New Roman"/>
          <w:lang w:val="en-GB"/>
        </w:rPr>
        <w:t>analyse</w:t>
      </w:r>
      <w:r w:rsidR="00DD50FC">
        <w:rPr>
          <w:rFonts w:ascii="Cambria" w:hAnsi="Cambria" w:cs="Times New Roman"/>
          <w:lang w:val="en-GB"/>
        </w:rPr>
        <w:t xml:space="preserve"> the product distribution and one will be used in Step 3 for EPR spectroscopy.</w:t>
      </w:r>
      <w:r>
        <w:rPr>
          <w:rFonts w:ascii="Cambria" w:hAnsi="Cambria" w:cs="Times New Roman"/>
          <w:lang w:val="en-GB"/>
        </w:rPr>
        <w:t xml:space="preserve"> </w:t>
      </w:r>
    </w:p>
    <w:p w14:paraId="332C92CD" w14:textId="77777777" w:rsidR="00562D2C" w:rsidRDefault="00562D2C" w:rsidP="00562D2C">
      <w:pPr>
        <w:pStyle w:val="ListParagraph"/>
        <w:widowControl w:val="0"/>
        <w:autoSpaceDE w:val="0"/>
        <w:autoSpaceDN w:val="0"/>
        <w:adjustRightInd w:val="0"/>
        <w:spacing w:after="0"/>
        <w:ind w:left="360"/>
        <w:jc w:val="both"/>
        <w:rPr>
          <w:rFonts w:ascii="Cambria" w:hAnsi="Cambria" w:cs="Times New Roman"/>
          <w:lang w:val="en-GB"/>
        </w:rPr>
      </w:pPr>
    </w:p>
    <w:p w14:paraId="50088BC0" w14:textId="62C51A3C" w:rsidR="00562D2C" w:rsidRPr="00FA4FF7" w:rsidRDefault="00562D2C" w:rsidP="00562D2C">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 xml:space="preserve">Prepare a solution of </w:t>
      </w:r>
      <w:r w:rsidR="00CB0456">
        <w:rPr>
          <w:rFonts w:ascii="Cambria" w:hAnsi="Cambria" w:cs="Times New Roman"/>
        </w:rPr>
        <w:t>butyraldehyde (100 mg) and CoCl</w:t>
      </w:r>
      <w:r w:rsidR="00CB0456">
        <w:rPr>
          <w:rFonts w:ascii="Cambria" w:hAnsi="Cambria" w:cs="Times New Roman"/>
          <w:vertAlign w:val="subscript"/>
        </w:rPr>
        <w:t>2</w:t>
      </w:r>
      <w:r w:rsidR="00CB0456">
        <w:rPr>
          <w:rFonts w:ascii="Cambria" w:hAnsi="Cambria" w:cs="Times New Roman"/>
        </w:rPr>
        <w:t>·6H</w:t>
      </w:r>
      <w:r w:rsidR="00CB0456">
        <w:rPr>
          <w:rFonts w:ascii="Cambria" w:hAnsi="Cambria" w:cs="Times New Roman"/>
          <w:vertAlign w:val="subscript"/>
        </w:rPr>
        <w:t>2</w:t>
      </w:r>
      <w:r w:rsidR="00CB0456">
        <w:rPr>
          <w:rFonts w:ascii="Cambria" w:hAnsi="Cambria" w:cs="Times New Roman"/>
        </w:rPr>
        <w:t xml:space="preserve">O (1 mg) in 1,2-dichloroethane (4 mL) </w:t>
      </w:r>
      <w:r>
        <w:rPr>
          <w:rFonts w:ascii="Cambria" w:hAnsi="Cambria" w:cs="Times New Roman"/>
        </w:rPr>
        <w:t>in a 20-mL scintillation vial.</w:t>
      </w:r>
      <w:r w:rsidR="00A37D9F">
        <w:rPr>
          <w:rFonts w:ascii="Cambria" w:hAnsi="Cambria" w:cs="Times New Roman"/>
        </w:rPr>
        <w:t xml:space="preserve"> Add BHT</w:t>
      </w:r>
      <w:r w:rsidR="00CB0456">
        <w:rPr>
          <w:rFonts w:ascii="Cambria" w:hAnsi="Cambria" w:cs="Times New Roman"/>
        </w:rPr>
        <w:t xml:space="preserve"> (10 mg)</w:t>
      </w:r>
      <w:r w:rsidR="00A37D9F">
        <w:rPr>
          <w:rFonts w:ascii="Cambria" w:hAnsi="Cambria" w:cs="Times New Roman"/>
        </w:rPr>
        <w:t xml:space="preserve"> to the solution.</w:t>
      </w:r>
      <w:r>
        <w:rPr>
          <w:rFonts w:ascii="Cambria" w:hAnsi="Cambria" w:cs="Times New Roman"/>
        </w:rPr>
        <w:t xml:space="preserve"> Add a magnetic stir bar and fit the vial with a rubber septum.</w:t>
      </w:r>
    </w:p>
    <w:p w14:paraId="72E63750" w14:textId="77777777" w:rsidR="00562D2C" w:rsidRPr="00FA4FF7" w:rsidRDefault="00562D2C" w:rsidP="00562D2C">
      <w:pPr>
        <w:pStyle w:val="ListParagraph"/>
        <w:widowControl w:val="0"/>
        <w:autoSpaceDE w:val="0"/>
        <w:autoSpaceDN w:val="0"/>
        <w:adjustRightInd w:val="0"/>
        <w:spacing w:after="0"/>
        <w:ind w:left="1242"/>
        <w:jc w:val="both"/>
        <w:rPr>
          <w:rFonts w:ascii="Cambria" w:hAnsi="Cambria" w:cs="Times New Roman"/>
          <w:lang w:val="en-GB"/>
        </w:rPr>
      </w:pPr>
    </w:p>
    <w:p w14:paraId="04E4EDDB" w14:textId="77777777" w:rsidR="00562D2C" w:rsidRPr="0062061A" w:rsidRDefault="00562D2C" w:rsidP="00562D2C">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Attach the barrel of a 1-mL plastic syringe to a short piece of rubber tubing. Insert the rubber tubing into a latex balloon and secure the balloon to the tube with a rubber band and electrical tape. Inflate a latex balloon with O</w:t>
      </w:r>
      <w:r>
        <w:rPr>
          <w:rFonts w:ascii="Cambria" w:hAnsi="Cambria" w:cs="Times New Roman"/>
          <w:vertAlign w:val="subscript"/>
        </w:rPr>
        <w:t>2</w:t>
      </w:r>
      <w:r>
        <w:rPr>
          <w:rFonts w:ascii="Cambria" w:hAnsi="Cambria" w:cs="Times New Roman"/>
        </w:rPr>
        <w:t>.</w:t>
      </w:r>
    </w:p>
    <w:p w14:paraId="5D858C5A" w14:textId="77777777" w:rsidR="00562D2C" w:rsidRPr="005F6BA4" w:rsidRDefault="00562D2C" w:rsidP="00562D2C">
      <w:pPr>
        <w:pStyle w:val="ListParagraph"/>
        <w:widowControl w:val="0"/>
        <w:autoSpaceDE w:val="0"/>
        <w:autoSpaceDN w:val="0"/>
        <w:adjustRightInd w:val="0"/>
        <w:spacing w:after="0"/>
        <w:ind w:left="1242"/>
        <w:jc w:val="both"/>
        <w:rPr>
          <w:rFonts w:ascii="Cambria" w:hAnsi="Cambria" w:cs="Times New Roman"/>
          <w:lang w:val="en-GB"/>
        </w:rPr>
      </w:pPr>
    </w:p>
    <w:p w14:paraId="67662F76" w14:textId="3E8C637D" w:rsidR="00562D2C" w:rsidRPr="00FA4FF7" w:rsidRDefault="00562D2C" w:rsidP="00562D2C">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rPr>
        <w:t>Insert the needle of the O</w:t>
      </w:r>
      <w:r>
        <w:rPr>
          <w:rFonts w:ascii="Cambria" w:hAnsi="Cambria" w:cs="Times New Roman"/>
          <w:vertAlign w:val="subscript"/>
        </w:rPr>
        <w:t>2</w:t>
      </w:r>
      <w:r>
        <w:rPr>
          <w:rFonts w:ascii="Cambria" w:hAnsi="Cambria" w:cs="Times New Roman"/>
        </w:rPr>
        <w:t xml:space="preserve"> balloon into the reaction vial. Insert a second needle into the septum and purge the </w:t>
      </w:r>
      <w:r w:rsidR="00CB0456">
        <w:rPr>
          <w:rFonts w:ascii="Cambria" w:hAnsi="Cambria" w:cs="Times New Roman"/>
        </w:rPr>
        <w:t>head-</w:t>
      </w:r>
      <w:r>
        <w:rPr>
          <w:rFonts w:ascii="Cambria" w:hAnsi="Cambria" w:cs="Times New Roman"/>
        </w:rPr>
        <w:t>space of the reaction vessel with O</w:t>
      </w:r>
      <w:r>
        <w:rPr>
          <w:rFonts w:ascii="Cambria" w:hAnsi="Cambria" w:cs="Times New Roman"/>
          <w:vertAlign w:val="subscript"/>
        </w:rPr>
        <w:t>2</w:t>
      </w:r>
      <w:r>
        <w:rPr>
          <w:rFonts w:ascii="Cambria" w:hAnsi="Cambria" w:cs="Times New Roman"/>
        </w:rPr>
        <w:t xml:space="preserve">. </w:t>
      </w:r>
    </w:p>
    <w:p w14:paraId="5637A8BE" w14:textId="77777777" w:rsidR="00562D2C" w:rsidRPr="00FA4FF7" w:rsidRDefault="00562D2C" w:rsidP="00562D2C">
      <w:pPr>
        <w:widowControl w:val="0"/>
        <w:autoSpaceDE w:val="0"/>
        <w:autoSpaceDN w:val="0"/>
        <w:adjustRightInd w:val="0"/>
        <w:spacing w:after="0"/>
        <w:jc w:val="both"/>
        <w:rPr>
          <w:rFonts w:ascii="Cambria" w:hAnsi="Cambria" w:cs="Times New Roman"/>
          <w:lang w:val="en-GB"/>
        </w:rPr>
      </w:pPr>
    </w:p>
    <w:p w14:paraId="305169ED" w14:textId="77777777" w:rsidR="00562D2C" w:rsidRPr="00172B11" w:rsidRDefault="00562D2C" w:rsidP="00562D2C">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Using a stir plate, stir the reaction at room temperature for 4 hours under an O</w:t>
      </w:r>
      <w:r>
        <w:rPr>
          <w:rFonts w:ascii="Cambria" w:hAnsi="Cambria" w:cs="Times New Roman"/>
          <w:vertAlign w:val="subscript"/>
          <w:lang w:val="en-GB"/>
        </w:rPr>
        <w:t>2</w:t>
      </w:r>
      <w:r>
        <w:rPr>
          <w:rFonts w:ascii="Cambria" w:hAnsi="Cambria" w:cs="Times New Roman"/>
          <w:lang w:val="en-GB"/>
        </w:rPr>
        <w:t xml:space="preserve"> atmosphere.</w:t>
      </w:r>
    </w:p>
    <w:p w14:paraId="3E5967F7" w14:textId="77777777" w:rsidR="00562D2C" w:rsidRPr="00172B11" w:rsidRDefault="00562D2C" w:rsidP="00562D2C">
      <w:pPr>
        <w:widowControl w:val="0"/>
        <w:autoSpaceDE w:val="0"/>
        <w:autoSpaceDN w:val="0"/>
        <w:adjustRightInd w:val="0"/>
        <w:spacing w:after="0"/>
        <w:jc w:val="both"/>
        <w:rPr>
          <w:rFonts w:ascii="Cambria" w:hAnsi="Cambria" w:cs="Times New Roman"/>
          <w:lang w:val="en-GB"/>
        </w:rPr>
      </w:pPr>
    </w:p>
    <w:p w14:paraId="06F6316C" w14:textId="77777777" w:rsidR="00562D2C" w:rsidRDefault="00562D2C" w:rsidP="00562D2C">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 xml:space="preserve">Concentrate the reaction mixture using a rotary evaporator and take a </w:t>
      </w:r>
      <w:r>
        <w:rPr>
          <w:rFonts w:ascii="Cambria" w:hAnsi="Cambria" w:cs="Times New Roman"/>
          <w:vertAlign w:val="superscript"/>
          <w:lang w:val="en-GB"/>
        </w:rPr>
        <w:t>1</w:t>
      </w:r>
      <w:r>
        <w:rPr>
          <w:rFonts w:ascii="Cambria" w:hAnsi="Cambria" w:cs="Times New Roman"/>
          <w:lang w:val="en-GB"/>
        </w:rPr>
        <w:t>H NMR spectrum of the resulting oily residue in CDCl</w:t>
      </w:r>
      <w:r>
        <w:rPr>
          <w:rFonts w:ascii="Cambria" w:hAnsi="Cambria" w:cs="Times New Roman"/>
          <w:vertAlign w:val="subscript"/>
          <w:lang w:val="en-GB"/>
        </w:rPr>
        <w:t>3</w:t>
      </w:r>
      <w:r>
        <w:rPr>
          <w:rFonts w:ascii="Cambria" w:hAnsi="Cambria" w:cs="Times New Roman"/>
          <w:lang w:val="en-GB"/>
        </w:rPr>
        <w:t>.</w:t>
      </w:r>
    </w:p>
    <w:p w14:paraId="75329955" w14:textId="77777777" w:rsidR="00AD2751" w:rsidRPr="00216D58" w:rsidRDefault="00AD2751" w:rsidP="00216D58">
      <w:pPr>
        <w:widowControl w:val="0"/>
        <w:autoSpaceDE w:val="0"/>
        <w:autoSpaceDN w:val="0"/>
        <w:adjustRightInd w:val="0"/>
        <w:spacing w:after="0"/>
        <w:jc w:val="both"/>
        <w:rPr>
          <w:rFonts w:ascii="Cambria" w:hAnsi="Cambria" w:cs="Times New Roman"/>
          <w:lang w:val="en-GB"/>
        </w:rPr>
      </w:pPr>
    </w:p>
    <w:p w14:paraId="7F4AD74D" w14:textId="48933BA9" w:rsidR="00AD2751" w:rsidRDefault="00AD2751" w:rsidP="00216D58">
      <w:pPr>
        <w:pStyle w:val="ListParagraph"/>
        <w:widowControl w:val="0"/>
        <w:numPr>
          <w:ilvl w:val="0"/>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Measuring EPR spectra.</w:t>
      </w:r>
    </w:p>
    <w:p w14:paraId="57430A87" w14:textId="77777777" w:rsidR="00AD2751" w:rsidRDefault="00AD2751" w:rsidP="00216D58">
      <w:pPr>
        <w:pStyle w:val="ListParagraph"/>
        <w:widowControl w:val="0"/>
        <w:autoSpaceDE w:val="0"/>
        <w:autoSpaceDN w:val="0"/>
        <w:adjustRightInd w:val="0"/>
        <w:spacing w:after="0"/>
        <w:ind w:left="360"/>
        <w:jc w:val="both"/>
        <w:rPr>
          <w:rFonts w:ascii="Cambria" w:hAnsi="Cambria" w:cs="Times New Roman"/>
          <w:lang w:val="en-GB"/>
        </w:rPr>
      </w:pPr>
    </w:p>
    <w:p w14:paraId="2A66B3F0" w14:textId="0330C815" w:rsidR="008B12C1" w:rsidRDefault="008B12C1" w:rsidP="00DD50FC">
      <w:pPr>
        <w:pStyle w:val="ListParagraph"/>
        <w:widowControl w:val="0"/>
        <w:numPr>
          <w:ilvl w:val="1"/>
          <w:numId w:val="5"/>
        </w:numPr>
        <w:autoSpaceDE w:val="0"/>
        <w:autoSpaceDN w:val="0"/>
        <w:adjustRightInd w:val="0"/>
        <w:spacing w:after="0"/>
        <w:jc w:val="both"/>
        <w:rPr>
          <w:rFonts w:ascii="Cambria" w:hAnsi="Cambria" w:cs="Times New Roman"/>
        </w:rPr>
      </w:pPr>
      <w:r>
        <w:rPr>
          <w:rFonts w:ascii="Cambria" w:hAnsi="Cambria" w:cs="Times New Roman"/>
          <w:lang w:val="en-GB"/>
        </w:rPr>
        <w:t>Turn the EPR spectrometer on and let the instrument warm up for 30 minutes.</w:t>
      </w:r>
      <w:r w:rsidR="000123CD">
        <w:rPr>
          <w:rFonts w:ascii="Cambria" w:hAnsi="Cambria" w:cs="Times New Roman"/>
          <w:lang w:val="en-GB"/>
        </w:rPr>
        <w:t xml:space="preserve"> Set up an EPR acquisition with the following parameters: </w:t>
      </w:r>
      <w:r w:rsidR="000123CD" w:rsidRPr="000123CD">
        <w:rPr>
          <w:rFonts w:ascii="Cambria" w:hAnsi="Cambria" w:cs="Times New Roman"/>
        </w:rPr>
        <w:t>cent</w:t>
      </w:r>
      <w:r w:rsidR="000123CD">
        <w:rPr>
          <w:rFonts w:ascii="Cambria" w:hAnsi="Cambria" w:cs="Times New Roman"/>
        </w:rPr>
        <w:t>er</w:t>
      </w:r>
      <w:r w:rsidR="000123CD" w:rsidRPr="000123CD">
        <w:rPr>
          <w:rFonts w:ascii="Cambria" w:hAnsi="Cambria" w:cs="Times New Roman"/>
        </w:rPr>
        <w:t xml:space="preserve"> field 3345 G, sweep width </w:t>
      </w:r>
      <w:r w:rsidR="000123CD">
        <w:rPr>
          <w:rFonts w:ascii="Cambria" w:hAnsi="Cambria" w:cs="Times New Roman"/>
        </w:rPr>
        <w:t>10</w:t>
      </w:r>
      <w:r w:rsidR="000123CD" w:rsidRPr="000123CD">
        <w:rPr>
          <w:rFonts w:ascii="Cambria" w:hAnsi="Cambria" w:cs="Times New Roman"/>
        </w:rPr>
        <w:t>0 G, sweep time 55 s, time constant 10 ms, MW power 5 mW, modulation 100 kHz</w:t>
      </w:r>
      <w:r w:rsidR="000123CD">
        <w:rPr>
          <w:rFonts w:ascii="Cambria" w:hAnsi="Cambria" w:cs="Times New Roman"/>
        </w:rPr>
        <w:t xml:space="preserve"> and modulation amplitude 1 G.</w:t>
      </w:r>
    </w:p>
    <w:p w14:paraId="21D1EBD2" w14:textId="77777777" w:rsidR="00CB0456" w:rsidRDefault="00CB0456" w:rsidP="00CB0456">
      <w:pPr>
        <w:pStyle w:val="ListParagraph"/>
        <w:widowControl w:val="0"/>
        <w:autoSpaceDE w:val="0"/>
        <w:autoSpaceDN w:val="0"/>
        <w:adjustRightInd w:val="0"/>
        <w:spacing w:after="0"/>
        <w:ind w:left="1242"/>
        <w:jc w:val="both"/>
        <w:rPr>
          <w:rFonts w:ascii="Cambria" w:hAnsi="Cambria" w:cs="Times New Roman"/>
        </w:rPr>
      </w:pPr>
    </w:p>
    <w:p w14:paraId="06CEF85B" w14:textId="4D1A8204" w:rsidR="00DD50FC" w:rsidRPr="0086629E" w:rsidRDefault="00DD50FC" w:rsidP="00DD50FC">
      <w:pPr>
        <w:pStyle w:val="ListParagraph"/>
        <w:widowControl w:val="0"/>
        <w:numPr>
          <w:ilvl w:val="1"/>
          <w:numId w:val="5"/>
        </w:numPr>
        <w:autoSpaceDE w:val="0"/>
        <w:autoSpaceDN w:val="0"/>
        <w:adjustRightInd w:val="0"/>
        <w:spacing w:after="0"/>
        <w:jc w:val="both"/>
        <w:rPr>
          <w:rFonts w:ascii="Cambria" w:hAnsi="Cambria" w:cs="Times New Roman"/>
        </w:rPr>
      </w:pPr>
      <w:r>
        <w:rPr>
          <w:rFonts w:ascii="Cambria" w:hAnsi="Cambria" w:cs="Times New Roman"/>
        </w:rPr>
        <w:t>Measure an EPR spectrum of an empty EPR tube to insure that there are no background signals from either the EPR tube or the instrument resonator.</w:t>
      </w:r>
    </w:p>
    <w:p w14:paraId="4111D854" w14:textId="77777777" w:rsidR="008B12C1" w:rsidRDefault="008B12C1" w:rsidP="0086629E">
      <w:pPr>
        <w:pStyle w:val="ListParagraph"/>
        <w:widowControl w:val="0"/>
        <w:autoSpaceDE w:val="0"/>
        <w:autoSpaceDN w:val="0"/>
        <w:adjustRightInd w:val="0"/>
        <w:spacing w:after="0"/>
        <w:ind w:left="1242"/>
        <w:jc w:val="both"/>
        <w:rPr>
          <w:rFonts w:ascii="Cambria" w:hAnsi="Cambria" w:cs="Times New Roman"/>
          <w:lang w:val="en-GB"/>
        </w:rPr>
      </w:pPr>
    </w:p>
    <w:p w14:paraId="5364A60C" w14:textId="30D9D9F7" w:rsidR="00AD2751" w:rsidRDefault="00DD50FC" w:rsidP="00AD2751">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Prepare a</w:t>
      </w:r>
      <w:r w:rsidR="003920FC">
        <w:rPr>
          <w:rFonts w:ascii="Cambria" w:hAnsi="Cambria" w:cs="Times New Roman"/>
          <w:lang w:val="en-GB"/>
        </w:rPr>
        <w:t xml:space="preserve"> </w:t>
      </w:r>
      <w:r>
        <w:rPr>
          <w:rFonts w:ascii="Cambria" w:hAnsi="Cambria" w:cs="Times New Roman"/>
          <w:lang w:val="en-GB"/>
        </w:rPr>
        <w:t>solution</w:t>
      </w:r>
      <w:r w:rsidR="003920FC">
        <w:rPr>
          <w:rFonts w:ascii="Cambria" w:hAnsi="Cambria" w:cs="Times New Roman"/>
          <w:lang w:val="en-GB"/>
        </w:rPr>
        <w:t xml:space="preserve"> BHT in 1,2-dichloroethane (DCE)</w:t>
      </w:r>
      <w:r>
        <w:rPr>
          <w:rFonts w:ascii="Cambria" w:hAnsi="Cambria" w:cs="Times New Roman"/>
          <w:lang w:val="en-GB"/>
        </w:rPr>
        <w:t xml:space="preserve"> i</w:t>
      </w:r>
      <w:r w:rsidR="003920FC">
        <w:rPr>
          <w:rFonts w:ascii="Cambria" w:hAnsi="Cambria" w:cs="Times New Roman"/>
          <w:lang w:val="en-GB"/>
        </w:rPr>
        <w:t>n an N</w:t>
      </w:r>
      <w:r w:rsidR="003920FC">
        <w:rPr>
          <w:rFonts w:ascii="Cambria" w:hAnsi="Cambria" w:cs="Times New Roman"/>
          <w:vertAlign w:val="subscript"/>
          <w:lang w:val="en-GB"/>
        </w:rPr>
        <w:t>2</w:t>
      </w:r>
      <w:r>
        <w:rPr>
          <w:rFonts w:ascii="Cambria" w:hAnsi="Cambria" w:cs="Times New Roman"/>
          <w:lang w:val="en-GB"/>
        </w:rPr>
        <w:t>-filled glovebox. Transfer 0.5 mL of the solution to an EPR tube and measure EPR spectrum of BHT using the acquisition parameters set up in Step 3.1.</w:t>
      </w:r>
    </w:p>
    <w:p w14:paraId="0950BFB7" w14:textId="77777777" w:rsidR="00DD50FC" w:rsidRPr="0086629E" w:rsidRDefault="00DD50FC" w:rsidP="0086629E">
      <w:pPr>
        <w:widowControl w:val="0"/>
        <w:autoSpaceDE w:val="0"/>
        <w:autoSpaceDN w:val="0"/>
        <w:adjustRightInd w:val="0"/>
        <w:spacing w:after="0"/>
        <w:jc w:val="both"/>
        <w:rPr>
          <w:rFonts w:ascii="Cambria" w:hAnsi="Cambria" w:cs="Times New Roman"/>
          <w:lang w:val="en-GB"/>
        </w:rPr>
      </w:pPr>
    </w:p>
    <w:p w14:paraId="7FDE296F" w14:textId="0807DDEF" w:rsidR="006F0FF0" w:rsidRPr="006A6327" w:rsidRDefault="00DD50FC" w:rsidP="00AD2751">
      <w:pPr>
        <w:pStyle w:val="ListParagraph"/>
        <w:widowControl w:val="0"/>
        <w:numPr>
          <w:ilvl w:val="1"/>
          <w:numId w:val="5"/>
        </w:numPr>
        <w:autoSpaceDE w:val="0"/>
        <w:autoSpaceDN w:val="0"/>
        <w:adjustRightInd w:val="0"/>
        <w:spacing w:after="0"/>
        <w:jc w:val="both"/>
        <w:rPr>
          <w:rFonts w:ascii="Cambria" w:hAnsi="Cambria" w:cs="Times New Roman"/>
          <w:lang w:val="en-GB"/>
        </w:rPr>
      </w:pPr>
      <w:r>
        <w:rPr>
          <w:rFonts w:ascii="Cambria" w:hAnsi="Cambria" w:cs="Times New Roman"/>
          <w:lang w:val="en-GB"/>
        </w:rPr>
        <w:t>Transfer 0.5 mL of the BHT-added reaction solution from Step 2 to an EPR tube and aquire and EPR spectrum using the acquisition parameters set up in Step 3.1.</w:t>
      </w:r>
    </w:p>
    <w:p w14:paraId="48068C9E" w14:textId="77777777" w:rsidR="00C70415" w:rsidRPr="00E73EAA" w:rsidRDefault="00C70415" w:rsidP="00C70415">
      <w:pPr>
        <w:pStyle w:val="ListParagraph"/>
        <w:widowControl w:val="0"/>
        <w:autoSpaceDE w:val="0"/>
        <w:autoSpaceDN w:val="0"/>
        <w:adjustRightInd w:val="0"/>
        <w:spacing w:after="0"/>
        <w:ind w:left="1242"/>
        <w:jc w:val="both"/>
        <w:rPr>
          <w:rFonts w:ascii="Cambria" w:hAnsi="Cambria" w:cs="Times New Roman"/>
          <w:lang w:val="en-GB"/>
        </w:rPr>
      </w:pPr>
    </w:p>
    <w:p w14:paraId="767C2632" w14:textId="77777777" w:rsidR="00B77FD3" w:rsidRPr="00197135" w:rsidRDefault="00B77FD3" w:rsidP="00197135">
      <w:pPr>
        <w:widowControl w:val="0"/>
        <w:autoSpaceDE w:val="0"/>
        <w:autoSpaceDN w:val="0"/>
        <w:adjustRightInd w:val="0"/>
        <w:spacing w:after="0"/>
        <w:jc w:val="both"/>
        <w:rPr>
          <w:rFonts w:ascii="Cambria" w:hAnsi="Cambria" w:cs="Times New Roman"/>
          <w:lang w:val="en-GB"/>
        </w:rPr>
      </w:pPr>
    </w:p>
    <w:p w14:paraId="2F66824E" w14:textId="033448D4" w:rsidR="00467282" w:rsidRDefault="00467282">
      <w:commentRangeStart w:id="1"/>
      <w:r w:rsidRPr="00467282">
        <w:rPr>
          <w:b/>
          <w:sz w:val="28"/>
        </w:rPr>
        <w:t>Representative Result</w:t>
      </w:r>
      <w:r w:rsidR="003E02E7">
        <w:rPr>
          <w:b/>
          <w:sz w:val="28"/>
        </w:rPr>
        <w:t>s</w:t>
      </w:r>
      <w:r>
        <w:rPr>
          <w:b/>
        </w:rPr>
        <w:t xml:space="preserve"> </w:t>
      </w:r>
      <w:commentRangeEnd w:id="1"/>
      <w:r w:rsidR="003E7ECD">
        <w:rPr>
          <w:rStyle w:val="CommentReference"/>
        </w:rPr>
        <w:commentReference w:id="1"/>
      </w:r>
    </w:p>
    <w:p w14:paraId="1B9501F9" w14:textId="02CF72CF" w:rsidR="009149C2" w:rsidRDefault="0061606C" w:rsidP="00043BFA">
      <w:pPr>
        <w:jc w:val="both"/>
        <w:rPr>
          <w:rFonts w:ascii="Cambria" w:hAnsi="Cambria"/>
          <w:bCs/>
        </w:rPr>
      </w:pPr>
      <w:r>
        <w:rPr>
          <w:rFonts w:ascii="Cambria" w:hAnsi="Cambria"/>
          <w:bCs/>
        </w:rPr>
        <w:t xml:space="preserve">The autoxidation of butyraldehyde affords butyric acid. The </w:t>
      </w:r>
      <w:r>
        <w:rPr>
          <w:rFonts w:ascii="Cambria" w:hAnsi="Cambria"/>
          <w:bCs/>
          <w:vertAlign w:val="superscript"/>
        </w:rPr>
        <w:t>1</w:t>
      </w:r>
      <w:r>
        <w:rPr>
          <w:rFonts w:ascii="Cambria" w:hAnsi="Cambria"/>
          <w:bCs/>
        </w:rPr>
        <w:t>H NMR spectrum obtained from th</w:t>
      </w:r>
      <w:r w:rsidR="00CB0456">
        <w:rPr>
          <w:rFonts w:ascii="Cambria" w:hAnsi="Cambria"/>
          <w:bCs/>
        </w:rPr>
        <w:t>e</w:t>
      </w:r>
      <w:r>
        <w:rPr>
          <w:rFonts w:ascii="Cambria" w:hAnsi="Cambria"/>
          <w:bCs/>
        </w:rPr>
        <w:t xml:space="preserve"> reaction</w:t>
      </w:r>
      <w:r w:rsidR="00CB0456">
        <w:rPr>
          <w:rFonts w:ascii="Cambria" w:hAnsi="Cambria"/>
          <w:bCs/>
        </w:rPr>
        <w:t xml:space="preserve"> carried out in Step 1</w:t>
      </w:r>
      <w:r>
        <w:rPr>
          <w:rFonts w:ascii="Cambria" w:hAnsi="Cambria"/>
          <w:bCs/>
        </w:rPr>
        <w:t xml:space="preserve"> shows the lack of an aldehydic C–H resonance and the presence of the resonances expected of butyric acid. In contrast, the NMR obtained from the reaction mixture </w:t>
      </w:r>
      <w:r w:rsidR="00264D66">
        <w:rPr>
          <w:rFonts w:ascii="Cambria" w:hAnsi="Cambria"/>
          <w:bCs/>
        </w:rPr>
        <w:t>from Step 2 (</w:t>
      </w:r>
      <w:r>
        <w:rPr>
          <w:rFonts w:ascii="Cambria" w:hAnsi="Cambria"/>
          <w:bCs/>
        </w:rPr>
        <w:t>with added BHT</w:t>
      </w:r>
      <w:r w:rsidR="00264D66">
        <w:rPr>
          <w:rFonts w:ascii="Cambria" w:hAnsi="Cambria"/>
          <w:bCs/>
        </w:rPr>
        <w:t>)</w:t>
      </w:r>
      <w:r>
        <w:rPr>
          <w:rFonts w:ascii="Cambria" w:hAnsi="Cambria"/>
          <w:bCs/>
        </w:rPr>
        <w:t xml:space="preserve"> displays signals consistent with </w:t>
      </w:r>
      <w:r>
        <w:rPr>
          <w:rFonts w:ascii="Cambria" w:hAnsi="Cambria"/>
          <w:bCs/>
        </w:rPr>
        <w:lastRenderedPageBreak/>
        <w:t xml:space="preserve">butyraldehyde, with no butyric acid present. </w:t>
      </w:r>
      <w:r w:rsidR="00264D66">
        <w:rPr>
          <w:rFonts w:ascii="Cambria" w:hAnsi="Cambria"/>
          <w:bCs/>
        </w:rPr>
        <w:t>From these data, we obse</w:t>
      </w:r>
      <w:r w:rsidR="003F36C7">
        <w:rPr>
          <w:rFonts w:ascii="Cambria" w:hAnsi="Cambria"/>
          <w:bCs/>
        </w:rPr>
        <w:t>rve the butyraldehyde has served</w:t>
      </w:r>
      <w:r w:rsidR="00264D66">
        <w:rPr>
          <w:rFonts w:ascii="Cambria" w:hAnsi="Cambria"/>
          <w:bCs/>
        </w:rPr>
        <w:t xml:space="preserve"> as an antioxidant in aldehyde autoxidation.</w:t>
      </w:r>
    </w:p>
    <w:p w14:paraId="54B8A517" w14:textId="0CEFD17C" w:rsidR="006F0FF0" w:rsidRPr="0061606C" w:rsidRDefault="006F0FF0" w:rsidP="00043BFA">
      <w:pPr>
        <w:jc w:val="both"/>
      </w:pPr>
      <w:r>
        <w:rPr>
          <w:rFonts w:ascii="Cambria" w:hAnsi="Cambria"/>
          <w:bCs/>
        </w:rPr>
        <w:t>The role of BHT in inhibiting aldehyde autoxidation is illuminated by the EPR spectra obtained of B</w:t>
      </w:r>
      <w:r w:rsidR="008B12C1">
        <w:rPr>
          <w:rFonts w:ascii="Cambria" w:hAnsi="Cambria"/>
          <w:bCs/>
        </w:rPr>
        <w:t xml:space="preserve">HT and of BHT added to the aldehyde autoxidation reaction. BHT is a diamagnetic organic molecule, meaning that there are no unpaired electrons. Accordingly, the EPR spectrum of BHT displays no signals. In contrast, the EPR spectrum of the autoxidation reaction in which BHT was added displays a strong three-lined pattern, consistent with </w:t>
      </w:r>
      <w:r w:rsidR="00264D66">
        <w:rPr>
          <w:rFonts w:ascii="Cambria" w:hAnsi="Cambria"/>
          <w:bCs/>
        </w:rPr>
        <w:t>an</w:t>
      </w:r>
      <w:r w:rsidR="008B12C1">
        <w:rPr>
          <w:rFonts w:ascii="Cambria" w:hAnsi="Cambria"/>
          <w:bCs/>
        </w:rPr>
        <w:t xml:space="preserve"> organic radical. This spectrum arises because the O–H bond of BHT is weak and in the presence of radicals generated during autoxidation, H-atom transfer from BHT quenches the radical chain mechanism and generates a stable O-centered radical.</w:t>
      </w:r>
    </w:p>
    <w:p w14:paraId="12D66DFA" w14:textId="0D1291C2" w:rsidR="009311DE" w:rsidRDefault="009311DE" w:rsidP="00E20BD6">
      <w:pPr>
        <w:tabs>
          <w:tab w:val="right" w:pos="9360"/>
        </w:tabs>
        <w:jc w:val="both"/>
        <w:rPr>
          <w:b/>
          <w:sz w:val="28"/>
        </w:rPr>
      </w:pPr>
      <w:r>
        <w:rPr>
          <w:b/>
          <w:sz w:val="28"/>
        </w:rPr>
        <w:t xml:space="preserve">Summary </w:t>
      </w:r>
      <w:r w:rsidR="00E20BD6">
        <w:rPr>
          <w:b/>
          <w:sz w:val="28"/>
        </w:rPr>
        <w:tab/>
      </w:r>
    </w:p>
    <w:p w14:paraId="2346E279" w14:textId="28C7B134" w:rsidR="00B34669" w:rsidRDefault="00412F52" w:rsidP="00C945E3">
      <w:pPr>
        <w:jc w:val="both"/>
      </w:pPr>
      <w:r>
        <w:t>In this experiment, we explored the role of antioxidants in inhibiting autoxidation chemistry</w:t>
      </w:r>
      <w:r w:rsidR="00587E8F">
        <w:t>. W</w:t>
      </w:r>
      <w:r>
        <w:t xml:space="preserve">e probed the </w:t>
      </w:r>
      <w:r w:rsidR="00587E8F">
        <w:t xml:space="preserve">mechanism of inhibition using EPR spectroscopy, which revealed that BHT serves as an antioxidant by quenching reactive radical intermediates via H-atom transfer. </w:t>
      </w:r>
    </w:p>
    <w:p w14:paraId="3D8EA6A1" w14:textId="64377707" w:rsidR="00760C9B" w:rsidRDefault="009311DE" w:rsidP="009311DE">
      <w:r w:rsidRPr="0051701C">
        <w:rPr>
          <w:b/>
          <w:sz w:val="28"/>
        </w:rPr>
        <w:t>Applications</w:t>
      </w:r>
      <w:r w:rsidR="00FC1C9F">
        <w:t xml:space="preserve"> </w:t>
      </w:r>
    </w:p>
    <w:p w14:paraId="2DDC0A69" w14:textId="7A8D375D" w:rsidR="00D660AB" w:rsidRDefault="00A3424A" w:rsidP="00587E8F">
      <w:pPr>
        <w:jc w:val="both"/>
      </w:pPr>
      <w:r>
        <w:t xml:space="preserve">Molecules with unpaired electrons can be challenging to characterize by NMR and thus EPR spectroscopy frequently provides useful and complementary information regarding these species. </w:t>
      </w:r>
      <w:r w:rsidR="00247440">
        <w:t xml:space="preserve">EPR spectroscopy is an experimental technique that is </w:t>
      </w:r>
      <w:r>
        <w:t xml:space="preserve">frequently used to detect and characterize organic radicals. In addition, </w:t>
      </w:r>
      <w:r w:rsidR="00247440">
        <w:t>paramagnetic inorganic complexes</w:t>
      </w:r>
      <w:r>
        <w:t xml:space="preserve"> also frequently display EPR spectra that can be instructive for characterization</w:t>
      </w:r>
      <w:r w:rsidR="00247440">
        <w:t xml:space="preserve">. </w:t>
      </w:r>
      <w:r w:rsidR="00587E8F">
        <w:t>Experimental EPR spectra delineate the</w:t>
      </w:r>
      <w:r w:rsidR="00247440">
        <w:t xml:space="preserve"> </w:t>
      </w:r>
      <w:r w:rsidR="00247440">
        <w:rPr>
          <w:i/>
        </w:rPr>
        <w:t>g</w:t>
      </w:r>
      <w:r w:rsidR="00247440">
        <w:t xml:space="preserve">-factor of the unpaired electron, which </w:t>
      </w:r>
      <w:r w:rsidR="00D660AB">
        <w:t>provides information about the electronic structure of the paramagnetic center.</w:t>
      </w:r>
      <w:r w:rsidR="00587E8F">
        <w:t xml:space="preserve"> In addition, the n</w:t>
      </w:r>
      <w:r w:rsidR="00D660AB">
        <w:t>uclear spins</w:t>
      </w:r>
      <w:r w:rsidR="004C7DF5">
        <w:t xml:space="preserve"> of the nuclei with the unpaired electron as well as neighboring nuclei</w:t>
      </w:r>
      <w:r w:rsidR="00D660AB">
        <w:t xml:space="preserve"> also influence the magnetic moment of an electron, </w:t>
      </w:r>
      <w:r w:rsidR="004C7DF5">
        <w:t>giving rise to</w:t>
      </w:r>
      <w:r w:rsidR="00D660AB">
        <w:t xml:space="preserve"> additional splitting of the </w:t>
      </w:r>
      <w:r w:rsidR="00D660AB">
        <w:rPr>
          <w:i/>
        </w:rPr>
        <w:t>m</w:t>
      </w:r>
      <w:r w:rsidR="00D660AB">
        <w:rPr>
          <w:i/>
          <w:vertAlign w:val="subscript"/>
        </w:rPr>
        <w:t>s</w:t>
      </w:r>
      <w:r w:rsidR="00D660AB">
        <w:t xml:space="preserve"> states and multiple lines in the EPR spectrum. </w:t>
      </w:r>
      <w:r w:rsidR="004C7DF5">
        <w:t>The resulting hyperfine and super</w:t>
      </w:r>
      <w:r w:rsidR="00101D86">
        <w:t>-</w:t>
      </w:r>
      <w:r w:rsidR="004C7DF5">
        <w:t>hyperfine coupling provides further information about the electronic structure of the molecule.</w:t>
      </w:r>
    </w:p>
    <w:p w14:paraId="4723F73E" w14:textId="6E57B5F8" w:rsidR="00587E8F" w:rsidRPr="00247440" w:rsidRDefault="00587E8F" w:rsidP="00587E8F">
      <w:pPr>
        <w:jc w:val="both"/>
      </w:pPr>
      <w:r>
        <w:t>In addition to characterizing open-shell organic and inorganic species, the exquisite sensitivity of EPR spectroscopy is critical to application to bioinorganic systems, where the concentration of metal cofactors is low. EPR spectra are routinely used in bioinorganic chemistry to provide direct information about the structures and oxidation states of metal ions at the heart of enzymes.</w:t>
      </w:r>
    </w:p>
    <w:p w14:paraId="685D9473" w14:textId="6317EF99" w:rsidR="003B5039" w:rsidRDefault="003B5039" w:rsidP="006F673A">
      <w:pPr>
        <w:jc w:val="both"/>
        <w:rPr>
          <w:b/>
          <w:sz w:val="28"/>
          <w:szCs w:val="28"/>
        </w:rPr>
      </w:pPr>
      <w:r w:rsidRPr="003B5039">
        <w:rPr>
          <w:b/>
          <w:sz w:val="28"/>
          <w:szCs w:val="28"/>
        </w:rPr>
        <w:t>Legend</w:t>
      </w:r>
    </w:p>
    <w:p w14:paraId="429832D2" w14:textId="57C3D31C" w:rsidR="00EF76B4" w:rsidRDefault="00EF76B4" w:rsidP="006F673A">
      <w:pPr>
        <w:jc w:val="both"/>
        <w:rPr>
          <w:b/>
          <w:sz w:val="28"/>
          <w:szCs w:val="28"/>
        </w:rPr>
      </w:pPr>
      <w:r w:rsidRPr="00EF76B4">
        <w:rPr>
          <w:b/>
        </w:rPr>
        <w:t xml:space="preserve">Figure </w:t>
      </w:r>
      <w:r w:rsidR="00C945E3">
        <w:rPr>
          <w:b/>
        </w:rPr>
        <w:t>1</w:t>
      </w:r>
      <w:r w:rsidRPr="00EF76B4">
        <w:rPr>
          <w:b/>
        </w:rPr>
        <w:t xml:space="preserve">. </w:t>
      </w:r>
      <w:r w:rsidRPr="00EF76B4">
        <w:t xml:space="preserve">Splitting of magnetic moment states, </w:t>
      </w:r>
      <w:r w:rsidRPr="00EF76B4">
        <w:rPr>
          <w:i/>
        </w:rPr>
        <w:t>m</w:t>
      </w:r>
      <w:r w:rsidRPr="00EF76B4">
        <w:rPr>
          <w:i/>
          <w:vertAlign w:val="subscript"/>
        </w:rPr>
        <w:t>s</w:t>
      </w:r>
      <w:r w:rsidRPr="00EF76B4">
        <w:t>, in the presence of a magnetic field.</w:t>
      </w:r>
    </w:p>
    <w:p w14:paraId="0FA9953A" w14:textId="53667451" w:rsidR="00C945E3" w:rsidRDefault="00C945E3" w:rsidP="00C945E3">
      <w:pPr>
        <w:jc w:val="both"/>
        <w:rPr>
          <w:b/>
          <w:sz w:val="28"/>
          <w:szCs w:val="28"/>
        </w:rPr>
      </w:pPr>
      <w:r w:rsidRPr="00EF76B4">
        <w:rPr>
          <w:b/>
        </w:rPr>
        <w:t xml:space="preserve">Figure </w:t>
      </w:r>
      <w:r>
        <w:rPr>
          <w:b/>
        </w:rPr>
        <w:t>2</w:t>
      </w:r>
      <w:r w:rsidRPr="00EF76B4">
        <w:rPr>
          <w:b/>
        </w:rPr>
        <w:t xml:space="preserve">. </w:t>
      </w:r>
      <w:r>
        <w:t>Aldehyde autoxidation proceeds via a radical chain mechanism.</w:t>
      </w:r>
    </w:p>
    <w:p w14:paraId="381B7B10" w14:textId="3302325D" w:rsidR="00E44654" w:rsidRPr="00A6129D" w:rsidRDefault="00E44654" w:rsidP="00E44654">
      <w:pPr>
        <w:jc w:val="both"/>
      </w:pPr>
    </w:p>
    <w:sectPr w:rsidR="00E44654" w:rsidRPr="00A6129D"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wers, Tamara M" w:date="2017-04-21T13:58:00Z" w:initials="PTM">
    <w:p w14:paraId="784F2533" w14:textId="4CD47E83" w:rsidR="00CB0456" w:rsidRDefault="00CB0456">
      <w:pPr>
        <w:pStyle w:val="CommentText"/>
      </w:pPr>
      <w:r>
        <w:rPr>
          <w:rStyle w:val="CommentReference"/>
        </w:rPr>
        <w:annotationRef/>
      </w:r>
      <w:r>
        <w:t>Data will be provided on day of filming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F25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3514F" w14:textId="77777777" w:rsidR="00120C12" w:rsidRDefault="00120C12" w:rsidP="006C79AB">
      <w:pPr>
        <w:spacing w:after="0"/>
      </w:pPr>
      <w:r>
        <w:separator/>
      </w:r>
    </w:p>
  </w:endnote>
  <w:endnote w:type="continuationSeparator" w:id="0">
    <w:p w14:paraId="5FF5D41D" w14:textId="77777777" w:rsidR="00120C12" w:rsidRDefault="00120C12" w:rsidP="006C7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2EDBF" w14:textId="77777777" w:rsidR="00120C12" w:rsidRDefault="00120C12" w:rsidP="006C79AB">
      <w:pPr>
        <w:spacing w:after="0"/>
      </w:pPr>
      <w:r>
        <w:separator/>
      </w:r>
    </w:p>
  </w:footnote>
  <w:footnote w:type="continuationSeparator" w:id="0">
    <w:p w14:paraId="5A27477E" w14:textId="77777777" w:rsidR="00120C12" w:rsidRDefault="00120C12" w:rsidP="006C79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226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B038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B9867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872DC2"/>
    <w:multiLevelType w:val="hybridMultilevel"/>
    <w:tmpl w:val="26D89CC0"/>
    <w:lvl w:ilvl="0" w:tplc="E1C24F2E">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wers, Tamara M">
    <w15:presenceInfo w15:providerId="AD" w15:userId="S-1-5-21-1167378736-2199707310-2242153877-423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23CD"/>
    <w:rsid w:val="00014A8E"/>
    <w:rsid w:val="00016ED1"/>
    <w:rsid w:val="000306DF"/>
    <w:rsid w:val="000331A6"/>
    <w:rsid w:val="00040633"/>
    <w:rsid w:val="00043BFA"/>
    <w:rsid w:val="000512AE"/>
    <w:rsid w:val="000540D4"/>
    <w:rsid w:val="000550AD"/>
    <w:rsid w:val="00057D4D"/>
    <w:rsid w:val="00066C94"/>
    <w:rsid w:val="000920FB"/>
    <w:rsid w:val="000B1046"/>
    <w:rsid w:val="000B6A03"/>
    <w:rsid w:val="000D1776"/>
    <w:rsid w:val="000E420C"/>
    <w:rsid w:val="000F5EBF"/>
    <w:rsid w:val="000F65C3"/>
    <w:rsid w:val="000F7209"/>
    <w:rsid w:val="00101D86"/>
    <w:rsid w:val="00102FEA"/>
    <w:rsid w:val="00105021"/>
    <w:rsid w:val="00114F12"/>
    <w:rsid w:val="00120C12"/>
    <w:rsid w:val="001416C3"/>
    <w:rsid w:val="001606E4"/>
    <w:rsid w:val="00176C2A"/>
    <w:rsid w:val="00180B84"/>
    <w:rsid w:val="001828CA"/>
    <w:rsid w:val="00182CC8"/>
    <w:rsid w:val="00183790"/>
    <w:rsid w:val="00197135"/>
    <w:rsid w:val="001C1E7B"/>
    <w:rsid w:val="001D27ED"/>
    <w:rsid w:val="001D676A"/>
    <w:rsid w:val="001D7EA1"/>
    <w:rsid w:val="001E61A6"/>
    <w:rsid w:val="001E6806"/>
    <w:rsid w:val="001F4DF5"/>
    <w:rsid w:val="001F733F"/>
    <w:rsid w:val="002005C9"/>
    <w:rsid w:val="00200A43"/>
    <w:rsid w:val="00216D58"/>
    <w:rsid w:val="00220460"/>
    <w:rsid w:val="00230850"/>
    <w:rsid w:val="00231286"/>
    <w:rsid w:val="00232EB8"/>
    <w:rsid w:val="00234F96"/>
    <w:rsid w:val="00235969"/>
    <w:rsid w:val="002402DD"/>
    <w:rsid w:val="00240DE4"/>
    <w:rsid w:val="0024392F"/>
    <w:rsid w:val="00247440"/>
    <w:rsid w:val="00255FFD"/>
    <w:rsid w:val="00262B7B"/>
    <w:rsid w:val="00264D66"/>
    <w:rsid w:val="00287462"/>
    <w:rsid w:val="00290CCB"/>
    <w:rsid w:val="002F5A48"/>
    <w:rsid w:val="00306B1D"/>
    <w:rsid w:val="0032171A"/>
    <w:rsid w:val="0032412D"/>
    <w:rsid w:val="00326E67"/>
    <w:rsid w:val="00334A5C"/>
    <w:rsid w:val="003722EC"/>
    <w:rsid w:val="00377D43"/>
    <w:rsid w:val="0038165F"/>
    <w:rsid w:val="003859D0"/>
    <w:rsid w:val="00387DD8"/>
    <w:rsid w:val="00392018"/>
    <w:rsid w:val="003920FC"/>
    <w:rsid w:val="003A18FC"/>
    <w:rsid w:val="003B0C5B"/>
    <w:rsid w:val="003B5039"/>
    <w:rsid w:val="003C027B"/>
    <w:rsid w:val="003E02E7"/>
    <w:rsid w:val="003E74D7"/>
    <w:rsid w:val="003E7ECD"/>
    <w:rsid w:val="003F36C7"/>
    <w:rsid w:val="003F758D"/>
    <w:rsid w:val="0040065B"/>
    <w:rsid w:val="00412F52"/>
    <w:rsid w:val="004221BF"/>
    <w:rsid w:val="0042422D"/>
    <w:rsid w:val="00430317"/>
    <w:rsid w:val="004348D3"/>
    <w:rsid w:val="00445B30"/>
    <w:rsid w:val="00455047"/>
    <w:rsid w:val="00465BD2"/>
    <w:rsid w:val="00467282"/>
    <w:rsid w:val="004825CB"/>
    <w:rsid w:val="00490D7B"/>
    <w:rsid w:val="004922B1"/>
    <w:rsid w:val="004A1058"/>
    <w:rsid w:val="004A1B00"/>
    <w:rsid w:val="004C7DF5"/>
    <w:rsid w:val="004F2C0E"/>
    <w:rsid w:val="004F7F52"/>
    <w:rsid w:val="00504F8D"/>
    <w:rsid w:val="005054F5"/>
    <w:rsid w:val="0051701C"/>
    <w:rsid w:val="00523B6D"/>
    <w:rsid w:val="00536F82"/>
    <w:rsid w:val="00543C3B"/>
    <w:rsid w:val="00550679"/>
    <w:rsid w:val="005525A0"/>
    <w:rsid w:val="00553205"/>
    <w:rsid w:val="005546C8"/>
    <w:rsid w:val="0056046C"/>
    <w:rsid w:val="00560984"/>
    <w:rsid w:val="00562D2C"/>
    <w:rsid w:val="0056383C"/>
    <w:rsid w:val="00566672"/>
    <w:rsid w:val="00583BBA"/>
    <w:rsid w:val="00587541"/>
    <w:rsid w:val="00587E8F"/>
    <w:rsid w:val="0059401E"/>
    <w:rsid w:val="005A4007"/>
    <w:rsid w:val="005B0D98"/>
    <w:rsid w:val="005E2B65"/>
    <w:rsid w:val="005F41B1"/>
    <w:rsid w:val="00605803"/>
    <w:rsid w:val="0060757E"/>
    <w:rsid w:val="006127A0"/>
    <w:rsid w:val="0061606C"/>
    <w:rsid w:val="00624F91"/>
    <w:rsid w:val="00645F54"/>
    <w:rsid w:val="00676527"/>
    <w:rsid w:val="00681DE9"/>
    <w:rsid w:val="006B073D"/>
    <w:rsid w:val="006C493D"/>
    <w:rsid w:val="006C79AB"/>
    <w:rsid w:val="006E76F5"/>
    <w:rsid w:val="006F0FF0"/>
    <w:rsid w:val="006F4D74"/>
    <w:rsid w:val="006F673A"/>
    <w:rsid w:val="00701418"/>
    <w:rsid w:val="00710FDF"/>
    <w:rsid w:val="00713137"/>
    <w:rsid w:val="007133C7"/>
    <w:rsid w:val="00723098"/>
    <w:rsid w:val="00735C72"/>
    <w:rsid w:val="00736F05"/>
    <w:rsid w:val="00740DB0"/>
    <w:rsid w:val="0074457A"/>
    <w:rsid w:val="00745543"/>
    <w:rsid w:val="00750056"/>
    <w:rsid w:val="00760C9B"/>
    <w:rsid w:val="0076498C"/>
    <w:rsid w:val="0079389E"/>
    <w:rsid w:val="007A498B"/>
    <w:rsid w:val="007A6FDA"/>
    <w:rsid w:val="007B191B"/>
    <w:rsid w:val="007D1097"/>
    <w:rsid w:val="007D3C10"/>
    <w:rsid w:val="007E0B3D"/>
    <w:rsid w:val="007E4FF3"/>
    <w:rsid w:val="007F0191"/>
    <w:rsid w:val="007F0442"/>
    <w:rsid w:val="007F11EC"/>
    <w:rsid w:val="007F3E1C"/>
    <w:rsid w:val="00800585"/>
    <w:rsid w:val="00821F68"/>
    <w:rsid w:val="00826B9D"/>
    <w:rsid w:val="008312C8"/>
    <w:rsid w:val="00833C67"/>
    <w:rsid w:val="00835DF5"/>
    <w:rsid w:val="00841C44"/>
    <w:rsid w:val="008500D0"/>
    <w:rsid w:val="00854EFC"/>
    <w:rsid w:val="00860C60"/>
    <w:rsid w:val="0086629E"/>
    <w:rsid w:val="00881FCC"/>
    <w:rsid w:val="00883F92"/>
    <w:rsid w:val="008B12C1"/>
    <w:rsid w:val="008B5B06"/>
    <w:rsid w:val="00903A4F"/>
    <w:rsid w:val="009149C2"/>
    <w:rsid w:val="00925E0B"/>
    <w:rsid w:val="009311DE"/>
    <w:rsid w:val="0094194B"/>
    <w:rsid w:val="009648A9"/>
    <w:rsid w:val="00966298"/>
    <w:rsid w:val="00967E7A"/>
    <w:rsid w:val="00971D05"/>
    <w:rsid w:val="00973E64"/>
    <w:rsid w:val="009B34E5"/>
    <w:rsid w:val="009C5CD4"/>
    <w:rsid w:val="009E59B8"/>
    <w:rsid w:val="00A0263A"/>
    <w:rsid w:val="00A04EB2"/>
    <w:rsid w:val="00A10E92"/>
    <w:rsid w:val="00A12DBA"/>
    <w:rsid w:val="00A156D0"/>
    <w:rsid w:val="00A24F6E"/>
    <w:rsid w:val="00A3424A"/>
    <w:rsid w:val="00A37D9F"/>
    <w:rsid w:val="00A44494"/>
    <w:rsid w:val="00A6129D"/>
    <w:rsid w:val="00A738AA"/>
    <w:rsid w:val="00A73E3D"/>
    <w:rsid w:val="00A83284"/>
    <w:rsid w:val="00A86ADB"/>
    <w:rsid w:val="00AB0BBF"/>
    <w:rsid w:val="00AC33E4"/>
    <w:rsid w:val="00AC472B"/>
    <w:rsid w:val="00AD2751"/>
    <w:rsid w:val="00AF29CA"/>
    <w:rsid w:val="00AF347F"/>
    <w:rsid w:val="00B06DD6"/>
    <w:rsid w:val="00B11D85"/>
    <w:rsid w:val="00B13F79"/>
    <w:rsid w:val="00B1533A"/>
    <w:rsid w:val="00B3305B"/>
    <w:rsid w:val="00B34669"/>
    <w:rsid w:val="00B51765"/>
    <w:rsid w:val="00B604D7"/>
    <w:rsid w:val="00B66739"/>
    <w:rsid w:val="00B7501E"/>
    <w:rsid w:val="00B77FD3"/>
    <w:rsid w:val="00B84DE8"/>
    <w:rsid w:val="00B9099D"/>
    <w:rsid w:val="00B92A74"/>
    <w:rsid w:val="00BA6272"/>
    <w:rsid w:val="00BD6C04"/>
    <w:rsid w:val="00BE1343"/>
    <w:rsid w:val="00BE6D24"/>
    <w:rsid w:val="00C032A0"/>
    <w:rsid w:val="00C11F85"/>
    <w:rsid w:val="00C124F6"/>
    <w:rsid w:val="00C141BA"/>
    <w:rsid w:val="00C23ED7"/>
    <w:rsid w:val="00C410AF"/>
    <w:rsid w:val="00C551C4"/>
    <w:rsid w:val="00C63136"/>
    <w:rsid w:val="00C70415"/>
    <w:rsid w:val="00C945E3"/>
    <w:rsid w:val="00CA1A45"/>
    <w:rsid w:val="00CB0456"/>
    <w:rsid w:val="00CB0A9A"/>
    <w:rsid w:val="00CB1ED5"/>
    <w:rsid w:val="00CD340F"/>
    <w:rsid w:val="00CE2294"/>
    <w:rsid w:val="00CE552A"/>
    <w:rsid w:val="00CF154A"/>
    <w:rsid w:val="00CF2DE0"/>
    <w:rsid w:val="00CF5ABB"/>
    <w:rsid w:val="00D0033C"/>
    <w:rsid w:val="00D06459"/>
    <w:rsid w:val="00D12044"/>
    <w:rsid w:val="00D120A4"/>
    <w:rsid w:val="00D1610D"/>
    <w:rsid w:val="00D208FB"/>
    <w:rsid w:val="00D32DFB"/>
    <w:rsid w:val="00D51EF0"/>
    <w:rsid w:val="00D53BEA"/>
    <w:rsid w:val="00D6088C"/>
    <w:rsid w:val="00D660AB"/>
    <w:rsid w:val="00D83D7A"/>
    <w:rsid w:val="00DA20A6"/>
    <w:rsid w:val="00DA27E2"/>
    <w:rsid w:val="00DB0B36"/>
    <w:rsid w:val="00DB472A"/>
    <w:rsid w:val="00DC1503"/>
    <w:rsid w:val="00DC16E3"/>
    <w:rsid w:val="00DD2B35"/>
    <w:rsid w:val="00DD50FC"/>
    <w:rsid w:val="00DE5434"/>
    <w:rsid w:val="00DF1615"/>
    <w:rsid w:val="00DF557A"/>
    <w:rsid w:val="00E05207"/>
    <w:rsid w:val="00E06B5C"/>
    <w:rsid w:val="00E13596"/>
    <w:rsid w:val="00E13D45"/>
    <w:rsid w:val="00E1412F"/>
    <w:rsid w:val="00E20BD6"/>
    <w:rsid w:val="00E2467A"/>
    <w:rsid w:val="00E3186E"/>
    <w:rsid w:val="00E34BBA"/>
    <w:rsid w:val="00E44654"/>
    <w:rsid w:val="00E62346"/>
    <w:rsid w:val="00E63E69"/>
    <w:rsid w:val="00E83D0A"/>
    <w:rsid w:val="00E86FF5"/>
    <w:rsid w:val="00EC446B"/>
    <w:rsid w:val="00EF76B4"/>
    <w:rsid w:val="00F14C3B"/>
    <w:rsid w:val="00F2489A"/>
    <w:rsid w:val="00F2517E"/>
    <w:rsid w:val="00F26AE2"/>
    <w:rsid w:val="00F3126B"/>
    <w:rsid w:val="00F358F2"/>
    <w:rsid w:val="00F3753F"/>
    <w:rsid w:val="00F427F5"/>
    <w:rsid w:val="00F465BD"/>
    <w:rsid w:val="00F5119D"/>
    <w:rsid w:val="00F51C8D"/>
    <w:rsid w:val="00F55D38"/>
    <w:rsid w:val="00F67CDA"/>
    <w:rsid w:val="00F71C1E"/>
    <w:rsid w:val="00FB4B94"/>
    <w:rsid w:val="00FC1C9F"/>
    <w:rsid w:val="00FD3E7C"/>
    <w:rsid w:val="00FF6E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500D0"/>
    <w:pPr>
      <w:ind w:left="720"/>
      <w:contextualSpacing/>
    </w:pPr>
  </w:style>
  <w:style w:type="character" w:customStyle="1" w:styleId="apple-converted-space">
    <w:name w:val="apple-converted-space"/>
    <w:basedOn w:val="DefaultParagraphFont"/>
    <w:rsid w:val="00BE6D24"/>
  </w:style>
  <w:style w:type="paragraph" w:styleId="EndnoteText">
    <w:name w:val="endnote text"/>
    <w:basedOn w:val="Normal"/>
    <w:link w:val="EndnoteTextChar"/>
    <w:uiPriority w:val="99"/>
    <w:semiHidden/>
    <w:unhideWhenUsed/>
    <w:rsid w:val="006C79AB"/>
    <w:pPr>
      <w:spacing w:after="0"/>
    </w:pPr>
    <w:rPr>
      <w:sz w:val="20"/>
      <w:szCs w:val="20"/>
    </w:rPr>
  </w:style>
  <w:style w:type="character" w:customStyle="1" w:styleId="EndnoteTextChar">
    <w:name w:val="Endnote Text Char"/>
    <w:basedOn w:val="DefaultParagraphFont"/>
    <w:link w:val="EndnoteText"/>
    <w:uiPriority w:val="99"/>
    <w:semiHidden/>
    <w:rsid w:val="006C79AB"/>
    <w:rPr>
      <w:sz w:val="20"/>
      <w:szCs w:val="20"/>
    </w:rPr>
  </w:style>
  <w:style w:type="character" w:styleId="EndnoteReference">
    <w:name w:val="endnote reference"/>
    <w:basedOn w:val="DefaultParagraphFont"/>
    <w:uiPriority w:val="99"/>
    <w:semiHidden/>
    <w:unhideWhenUsed/>
    <w:rsid w:val="006C79AB"/>
    <w:rPr>
      <w:vertAlign w:val="superscript"/>
    </w:rPr>
  </w:style>
  <w:style w:type="table" w:styleId="TableGrid">
    <w:name w:val="Table Grid"/>
    <w:basedOn w:val="TableNormal"/>
    <w:uiPriority w:val="59"/>
    <w:rsid w:val="00A612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500D0"/>
    <w:pPr>
      <w:ind w:left="720"/>
      <w:contextualSpacing/>
    </w:pPr>
  </w:style>
  <w:style w:type="character" w:customStyle="1" w:styleId="apple-converted-space">
    <w:name w:val="apple-converted-space"/>
    <w:basedOn w:val="DefaultParagraphFont"/>
    <w:rsid w:val="00BE6D24"/>
  </w:style>
  <w:style w:type="paragraph" w:styleId="EndnoteText">
    <w:name w:val="endnote text"/>
    <w:basedOn w:val="Normal"/>
    <w:link w:val="EndnoteTextChar"/>
    <w:uiPriority w:val="99"/>
    <w:semiHidden/>
    <w:unhideWhenUsed/>
    <w:rsid w:val="006C79AB"/>
    <w:pPr>
      <w:spacing w:after="0"/>
    </w:pPr>
    <w:rPr>
      <w:sz w:val="20"/>
      <w:szCs w:val="20"/>
    </w:rPr>
  </w:style>
  <w:style w:type="character" w:customStyle="1" w:styleId="EndnoteTextChar">
    <w:name w:val="Endnote Text Char"/>
    <w:basedOn w:val="DefaultParagraphFont"/>
    <w:link w:val="EndnoteText"/>
    <w:uiPriority w:val="99"/>
    <w:semiHidden/>
    <w:rsid w:val="006C79AB"/>
    <w:rPr>
      <w:sz w:val="20"/>
      <w:szCs w:val="20"/>
    </w:rPr>
  </w:style>
  <w:style w:type="character" w:styleId="EndnoteReference">
    <w:name w:val="endnote reference"/>
    <w:basedOn w:val="DefaultParagraphFont"/>
    <w:uiPriority w:val="99"/>
    <w:semiHidden/>
    <w:unhideWhenUsed/>
    <w:rsid w:val="006C79AB"/>
    <w:rPr>
      <w:vertAlign w:val="superscript"/>
    </w:rPr>
  </w:style>
  <w:style w:type="table" w:styleId="TableGrid">
    <w:name w:val="Table Grid"/>
    <w:basedOn w:val="TableNormal"/>
    <w:uiPriority w:val="59"/>
    <w:rsid w:val="00A612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577062187">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59450546">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718D-98FF-40D4-95DF-8332EF72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David Repetto</cp:lastModifiedBy>
  <cp:revision>2</cp:revision>
  <cp:lastPrinted>2017-05-28T21:55:00Z</cp:lastPrinted>
  <dcterms:created xsi:type="dcterms:W3CDTF">2017-05-29T16:01:00Z</dcterms:created>
  <dcterms:modified xsi:type="dcterms:W3CDTF">2017-05-29T16:01:00Z</dcterms:modified>
</cp:coreProperties>
</file>