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Tamara Powers, Department of Chemistry Texas A&amp;amp;M University, College Station, TX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M&amp;#246;ssbauer spectroscopy is a bulk characterization technique that examines the nuclear excitation of an atom by gamma rays in the solid state. The resulting M&amp;#246;ssbauer spectrum provides information about the oxidation state, spin state, and electronic environment around the target atom, which, in combination, gives evidence about the electronic structure and ligand arrangement (geometry) of the molecule. In this video, we will learn about the basic principles of M&amp;#246;ssbauer spectroscopy and collect a zero field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M&amp;#246;ssbauer spectrum of ferrocene.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Nuclear Spin Angular Momentum (I):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nuclear spin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of an atom is defined as the total angular momentum of the nucleus. The ground state nuclear spin for a given atom is dependent on the number of protons and neutrons in the nucleus and can be a half integer value (1/2, 3/2, 5/2, </w:t>
      </w:r>
      <w:r>
        <w:rPr>
          <w:rFonts w:ascii="Times New Roman" w:hAnsi="Times New Roman" w:cs="Times New Roman" w:eastAsia="Times New Roman"/>
          <w:i/>
          <w:color w:val="auto"/>
          <w:spacing w:val="0"/>
          <w:position w:val="0"/>
          <w:sz w:val="24"/>
          <w:shd w:fill="auto" w:val="clear"/>
        </w:rPr>
        <w:t xml:space="preserve">etc.</w:t>
      </w:r>
      <w:r>
        <w:rPr>
          <w:rFonts w:ascii="Times New Roman" w:hAnsi="Times New Roman" w:cs="Times New Roman" w:eastAsia="Times New Roman"/>
          <w:color w:val="auto"/>
          <w:spacing w:val="0"/>
          <w:position w:val="0"/>
          <w:sz w:val="24"/>
          <w:shd w:fill="auto" w:val="clear"/>
        </w:rPr>
        <w:t xml:space="preserve">) or an integer value (1, 2, 3, </w:t>
      </w:r>
      <w:r>
        <w:rPr>
          <w:rFonts w:ascii="Times New Roman" w:hAnsi="Times New Roman" w:cs="Times New Roman" w:eastAsia="Times New Roman"/>
          <w:i/>
          <w:color w:val="auto"/>
          <w:spacing w:val="0"/>
          <w:position w:val="0"/>
          <w:sz w:val="24"/>
          <w:shd w:fill="auto" w:val="clear"/>
        </w:rPr>
        <w:t xml:space="preserve">etc.</w:t>
      </w:r>
      <w:r>
        <w:rPr>
          <w:rFonts w:ascii="Times New Roman" w:hAnsi="Times New Roman" w:cs="Times New Roman" w:eastAsia="Times New Roman"/>
          <w:color w:val="auto"/>
          <w:spacing w:val="0"/>
          <w:position w:val="0"/>
          <w:sz w:val="24"/>
          <w:shd w:fill="auto" w:val="clear"/>
        </w:rPr>
        <w:t xml:space="preserve">). Nuclear spin excited states,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+ 1n, where n is an integer value, exist and can be accessed if enough energy is applied to the nucleus.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Instrument Setup: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general instrument setup is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source that generates gamma rays is connected to a driver, which continuously moves the source with respect to the sample (the necessity of this will be explained below). The gamma rays then hit the solid sample, which is frequently suspended in an oil. Upon passing through the sample, the resulting transmitted radiation hits the detector, which measures the intensity of the beam upon interaction with the sample.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8294" w:dyaOrig="2437">
          <v:rect xmlns:o="urn:schemas-microsoft-com:office:office" xmlns:v="urn:schemas-microsoft-com:vml" id="rectole0000000000" style="width:414.700000pt;height:121.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General instrumentation setup.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Gamma Ray Generation: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source used to generate the gamma rays for the experiment needs to be of the same isotope as the atoms in the sample that are absorbing the radiation. For example, for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M&amp;#246;ssbauer spectroscopy, a radioactive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Co source is utilized.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Co decays (half life = 272 days) to the excited state of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w:t>
      </w:r>
      <w:r>
        <w:rPr>
          <w:rFonts w:ascii="Times New Roman" w:hAnsi="Times New Roman" w:cs="Times New Roman" w:eastAsia="Times New Roman"/>
          <w:i/>
          <w:color w:val="auto"/>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 5/2. The resulting excited state further decays to either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3/2 excited state or to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1/2 ground state. Relaxation from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3/2 excited state of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to the ground state produces a gamma ray of desired energy for the experiment. However, the energy of the generated gamma ray does not exactly match the energy required for a nuclear excitation of the atom in a molecule. Returning to the example of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the energy levels of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1/2 and </w:t>
      </w:r>
      <w:r>
        <w:rPr>
          <w:rFonts w:ascii="Times New Roman" w:hAnsi="Times New Roman" w:cs="Times New Roman" w:eastAsia="Times New Roman"/>
          <w:i/>
          <w:color w:val="auto"/>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 3/2 states change upon putting Fe within a molecule, where the oxidation and spin state of the metal as well as the ligand environment influence the electron field gradient at Fe. Therefore, to tune the energy of the resulting gamma ray, the source is moved with respect to the sample during the experiment using a driver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conventional “energy” unit in M&amp;#246;ssbauer spectroscopy is mm/s.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Does a Typical M&amp;#246;ssbauer Spectrum Look Like?: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M&amp;#246;ssbauer spectrum, the percent transmission (dips in % transmission or the location of a peak that indicate gamma rays were absorbed at that energy) is plotted against the energy of the transition (mm/s). A typical spectrum is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two peaks together are considered a single quadruple doublet, which is the result of two types of observable nuclear interactions: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The isomer shift (or chemical shift, </w:t>
      </w:r>
      <w:r>
        <w:rPr>
          <w:rFonts w:ascii="Times New Roman" w:hAnsi="Times New Roman" w:cs="Times New Roman" w:eastAsia="Times New Roman"/>
          <w:color w:val="auto"/>
          <w:spacing w:val="0"/>
          <w:position w:val="0"/>
          <w:sz w:val="24"/>
          <w:shd w:fill="auto" w:val="clear"/>
        </w:rPr>
        <w:t xml:space="preserve">δ, mm/s) is a measure of nuclear resonance energy and is related to the oxidation state of the atom.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isomer shift is the energy value half way between the peaks in the spectrum.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includes the typical ranges of isomer shifts for given oxidation states and spin states of Fe.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Some typical ranges of isomer shifts for Fe-containing compounds.</w:t>
      </w:r>
    </w:p>
    <w:tbl>
      <w:tblPr/>
      <w:tblGrid>
        <w:gridCol w:w="2036"/>
        <w:gridCol w:w="1807"/>
        <w:gridCol w:w="3284"/>
      </w:tblGrid>
      <w:tr>
        <w:trPr>
          <w:trHeight w:val="1" w:hRule="atLeast"/>
          <w:jc w:val="center"/>
        </w:trPr>
        <w:tc>
          <w:tcPr>
            <w:tcW w:w="20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Oxidation state</w:t>
            </w:r>
          </w:p>
        </w:tc>
        <w:tc>
          <w:tcPr>
            <w:tcW w:w="1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Spin state (</w:t>
            </w:r>
            <w:r>
              <w:rPr>
                <w:rFonts w:ascii="Times New Roman" w:hAnsi="Times New Roman" w:cs="Times New Roman" w:eastAsia="Times New Roman"/>
                <w:b/>
                <w:i/>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w:t>
            </w:r>
          </w:p>
        </w:tc>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Isomer shift range (mm/s)</w:t>
            </w:r>
          </w:p>
        </w:tc>
      </w:tr>
      <w:tr>
        <w:trPr>
          <w:trHeight w:val="1" w:hRule="atLeast"/>
          <w:jc w:val="center"/>
        </w:trPr>
        <w:tc>
          <w:tcPr>
            <w:tcW w:w="20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Fe(II)</w:t>
            </w:r>
          </w:p>
        </w:tc>
        <w:tc>
          <w:tcPr>
            <w:tcW w:w="1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0.3 to 0.5</w:t>
            </w:r>
          </w:p>
        </w:tc>
      </w:tr>
      <w:tr>
        <w:trPr>
          <w:trHeight w:val="1" w:hRule="atLeast"/>
          <w:jc w:val="center"/>
        </w:trPr>
        <w:tc>
          <w:tcPr>
            <w:tcW w:w="20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Fe(II)</w:t>
            </w:r>
          </w:p>
        </w:tc>
        <w:tc>
          <w:tcPr>
            <w:tcW w:w="1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0.75 to 1.5</w:t>
            </w:r>
          </w:p>
        </w:tc>
      </w:tr>
      <w:tr>
        <w:trPr>
          <w:trHeight w:val="1" w:hRule="atLeast"/>
          <w:jc w:val="center"/>
        </w:trPr>
        <w:tc>
          <w:tcPr>
            <w:tcW w:w="20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Fe(III)</w:t>
            </w:r>
          </w:p>
        </w:tc>
        <w:tc>
          <w:tcPr>
            <w:tcW w:w="1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0.2 to 0.4</w:t>
            </w:r>
          </w:p>
        </w:tc>
      </w:tr>
      <w:tr>
        <w:trPr>
          <w:trHeight w:val="1" w:hRule="atLeast"/>
          <w:jc w:val="center"/>
        </w:trPr>
        <w:tc>
          <w:tcPr>
            <w:tcW w:w="20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Fe(III)</w:t>
            </w:r>
          </w:p>
        </w:tc>
        <w:tc>
          <w:tcPr>
            <w:tcW w:w="1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5/2</w:t>
            </w:r>
          </w:p>
        </w:tc>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 to 0.55</w:t>
            </w:r>
          </w:p>
        </w:tc>
      </w:tr>
    </w:tbl>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The quadrupole splitting (</w:t>
      </w:r>
      <w:r>
        <w:rPr>
          <w:rFonts w:ascii="Times New Roman" w:hAnsi="Times New Roman" w:cs="Times New Roman" w:eastAsia="Times New Roman"/>
          <w:i/>
          <w:color w:val="auto"/>
          <w:spacing w:val="0"/>
          <w:position w:val="0"/>
          <w:sz w:val="24"/>
          <w:shd w:fill="auto" w:val="clear"/>
        </w:rPr>
        <w:t xml:space="preserve">ΔE</w:t>
      </w:r>
      <w:r>
        <w:rPr>
          <w:rFonts w:ascii="Times New Roman" w:hAnsi="Times New Roman" w:cs="Times New Roman" w:eastAsia="Times New Roman"/>
          <w:i/>
          <w:color w:val="auto"/>
          <w:spacing w:val="0"/>
          <w:position w:val="0"/>
          <w:sz w:val="24"/>
          <w:shd w:fill="auto" w:val="clear"/>
          <w:vertAlign w:val="subscript"/>
        </w:rPr>
        <w:t xml:space="preserve">Q</w:t>
      </w:r>
      <w:r>
        <w:rPr>
          <w:rFonts w:ascii="Times New Roman" w:hAnsi="Times New Roman" w:cs="Times New Roman" w:eastAsia="Times New Roman"/>
          <w:color w:val="auto"/>
          <w:spacing w:val="0"/>
          <w:position w:val="0"/>
          <w:sz w:val="24"/>
          <w:shd w:fill="auto" w:val="clear"/>
        </w:rPr>
        <w:t xml:space="preserve">, mm/s) is a measure of how the electric field gradient around the atom affects the nuclear energy levels of the atom. Like the isomer shift, </w:t>
      </w:r>
      <w:r>
        <w:rPr>
          <w:rFonts w:ascii="Times New Roman" w:hAnsi="Times New Roman" w:cs="Times New Roman" w:eastAsia="Times New Roman"/>
          <w:i/>
          <w:color w:val="auto"/>
          <w:spacing w:val="0"/>
          <w:position w:val="0"/>
          <w:sz w:val="24"/>
          <w:shd w:fill="auto" w:val="clear"/>
        </w:rPr>
        <w:t xml:space="preserve">ΔE</w:t>
      </w:r>
      <w:r>
        <w:rPr>
          <w:rFonts w:ascii="Times New Roman" w:hAnsi="Times New Roman" w:cs="Times New Roman" w:eastAsia="Times New Roman"/>
          <w:i/>
          <w:color w:val="auto"/>
          <w:spacing w:val="0"/>
          <w:position w:val="0"/>
          <w:sz w:val="24"/>
          <w:shd w:fill="auto" w:val="clear"/>
          <w:vertAlign w:val="subscript"/>
        </w:rPr>
        <w:t xml:space="preserve">Q</w:t>
      </w:r>
      <w:r>
        <w:rPr>
          <w:rFonts w:ascii="Times New Roman" w:hAnsi="Times New Roman" w:cs="Times New Roman" w:eastAsia="Times New Roman"/>
          <w:color w:val="auto"/>
          <w:spacing w:val="0"/>
          <w:position w:val="0"/>
          <w:sz w:val="24"/>
          <w:shd w:fill="auto" w:val="clear"/>
        </w:rPr>
        <w:t xml:space="preserve"> provides information about the oxidation state. The spin state and the symmetry of the electron density around the atom (placement of ligands around a metal) will also affect the observed </w:t>
      </w:r>
      <w:r>
        <w:rPr>
          <w:rFonts w:ascii="Times New Roman" w:hAnsi="Times New Roman" w:cs="Times New Roman" w:eastAsia="Times New Roman"/>
          <w:i/>
          <w:color w:val="auto"/>
          <w:spacing w:val="0"/>
          <w:position w:val="0"/>
          <w:sz w:val="24"/>
          <w:shd w:fill="auto" w:val="clear"/>
        </w:rPr>
        <w:t xml:space="preserve">ΔE</w:t>
      </w:r>
      <w:r>
        <w:rPr>
          <w:rFonts w:ascii="Times New Roman" w:hAnsi="Times New Roman" w:cs="Times New Roman" w:eastAsia="Times New Roman"/>
          <w:i/>
          <w:color w:val="auto"/>
          <w:spacing w:val="0"/>
          <w:position w:val="0"/>
          <w:sz w:val="24"/>
          <w:shd w:fill="auto" w:val="clear"/>
          <w:vertAlign w:val="subscript"/>
        </w:rPr>
        <w:t xml:space="preserve">Q</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quadrupole splitting is the energy difference in mm/s between the two peaks in the spectrum.</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4896" w:dyaOrig="4425">
          <v:rect xmlns:o="urn:schemas-microsoft-com:office:office" xmlns:v="urn:schemas-microsoft-com:vml" id="rectole0000000001" style="width:244.800000pt;height:221.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 typical M&amp;#246;ssbauer spectrum is plotted with velocity (energy) along the x axis and % transmission along the y axis. Here we see a single quadrupole doublet, with isomer shift, </w:t>
      </w:r>
      <w:r>
        <w:rPr>
          <w:rFonts w:ascii="Times New Roman" w:hAnsi="Times New Roman" w:cs="Times New Roman" w:eastAsia="Times New Roman"/>
          <w:color w:val="auto"/>
          <w:spacing w:val="0"/>
          <w:position w:val="0"/>
          <w:sz w:val="24"/>
          <w:shd w:fill="auto" w:val="clear"/>
        </w:rPr>
        <w:t xml:space="preserve">δ, and quadrupole splitting, </w:t>
      </w:r>
      <w:r>
        <w:rPr>
          <w:rFonts w:ascii="Times New Roman" w:hAnsi="Times New Roman" w:cs="Times New Roman" w:eastAsia="Times New Roman"/>
          <w:i/>
          <w:color w:val="auto"/>
          <w:spacing w:val="0"/>
          <w:position w:val="0"/>
          <w:sz w:val="24"/>
          <w:shd w:fill="auto" w:val="clear"/>
        </w:rPr>
        <w:t xml:space="preserve">ΔE</w:t>
      </w:r>
      <w:r>
        <w:rPr>
          <w:rFonts w:ascii="Times New Roman" w:hAnsi="Times New Roman" w:cs="Times New Roman" w:eastAsia="Times New Roman"/>
          <w:i/>
          <w:color w:val="auto"/>
          <w:spacing w:val="0"/>
          <w:position w:val="0"/>
          <w:sz w:val="24"/>
          <w:shd w:fill="auto" w:val="clear"/>
          <w:vertAlign w:val="subscript"/>
        </w:rPr>
        <w:t xml:space="preserve">Q</w:t>
      </w:r>
      <w:r>
        <w:rPr>
          <w:rFonts w:ascii="Times New Roman" w:hAnsi="Times New Roman" w:cs="Times New Roman" w:eastAsia="Times New Roman"/>
          <w:color w:val="auto"/>
          <w:spacing w:val="0"/>
          <w:position w:val="0"/>
          <w:sz w:val="24"/>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Isomer Shift and Quadrupole Splitting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What Nuclear Transitions Do These Values Represent?: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will consider the nuclear spin transitions for an Fe atom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1/2 ground state). The isomer shift is directly related to the electron transition in the </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orbital of the atom from the </w:t>
      </w:r>
      <w:r>
        <w:rPr>
          <w:rFonts w:ascii="Times New Roman" w:hAnsi="Times New Roman" w:cs="Times New Roman" w:eastAsia="Times New Roman"/>
          <w:i/>
          <w:color w:val="auto"/>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 1/2 to an excited state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If the surrounding electric field gradient is non-spherical, due to either a non-spherical electronic charge or asymmetric ligand arrangement, the nuclear energy level splits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3/2 excited state splits into two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states &amp;plusmn; 1/2 and &amp;plusmn; 3/2. As a result, both nuclear transitions are observed in the M&amp;#246;ssbauer spectrum and the distance between the two resulting peaks is called the quadrupole splitting. The quadrupole splitting value is therefore a measure of the effect on the nuclear energy levels with the electric field gradient around the atom.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object w:dxaOrig="8294" w:dyaOrig="5172">
          <v:rect xmlns:o="urn:schemas-microsoft-com:office:office" xmlns:v="urn:schemas-microsoft-com:vml" id="rectole0000000002" style="width:414.700000pt;height:258.6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Observable nuclear interactions in a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M&amp;#246;ssbauer spectrum including isomer shift, quadrupole splitting, and hyperfine splitting in the presence of a magnetic field.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Hyperfine Splitting: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Hyperfine splitting (or Zeeman splitting) can also be observed in the presence of an internal or external magnetic field. In the presence of a magnetic field, each nuclear energy level,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splits into 2</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+ 1 sub-states. For example, in an applied magnetic field the nuclear energy level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 3/2 would split into 4 non-degenerate states including 3/2, 1/2,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 with 6 allowed transitions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the Sample</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Weigh 100 mg of ferrocene in a delrine M&amp;#246;ssbauer cup.</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Add several drops of paratone oil to the sample. Using a spatula, mix the sample and the oil into a uniform paste.</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Freeze the sample in liquid nitrogen.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Mounting the Sample</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Fill the sample chamber with He gas.</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Unscrew the sample rod from the instrument and remove the sample rod.</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While mounting the sample, close the sample chamber with a cap and secure with screws.</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Load the M&amp;#246;ssbauer cup into the sample holder at the end of the rod.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Tighten the screw to secure the cup in the sample holder.</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Dust off any ice that forms before freezing the end of the sample rod in liquid nitrogen.</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With He flowing through the sample chamber, unscrew and remove the cap, and insert the sample rod.</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Secure the rod to the instrument with the screws.</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Turn off the He and pull the vacuum on the sample chamber.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2.10.</w:t>
        <w:tab/>
      </w:r>
      <w:r>
        <w:rPr>
          <w:rFonts w:ascii="Times New Roman" w:hAnsi="Times New Roman" w:cs="Times New Roman" w:eastAsia="Times New Roman"/>
          <w:color w:val="auto"/>
          <w:spacing w:val="0"/>
          <w:position w:val="0"/>
          <w:sz w:val="24"/>
          <w:shd w:fill="auto" w:val="clear"/>
        </w:rPr>
        <w:t xml:space="preserve">Turn off the vacuum and refill the sample chamber slightly with He to enable thermal exchange between the sample and the cold head of the instrument via the He gas.</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Data Collection and Workup</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Open the M&amp;#246;ssbauer data collection software. Here we use W302 by Science Engineering &amp;amp; Education (SEE) Co.</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The first screen will show the total count of gamma rays hitting the detector at a range of energies. Select the peak that includes the energy value 14.4 keV and 2 keV escape peak.</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Hit the “Send Windows” button. This will send the data to the W302 software (SEE Co).</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Open the W302 program. Select the desired source velocity (0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 mm/s). Hit the “clear channel” to begin a new data collection.</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w:t>
        <w:tab/>
        <w:t xml:space="preserve">After the desired resolution is reached, fit the data with a suitable program. Here we use WMOSS by SEE Co. The fit provides the values for isomer shift and quadrupole splitting (if a doublet is present).</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Zero field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M&amp;#246;ssbauer of ferrocene at 5 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isomer shift at 0.54 mm/s falls in the expected range for a Fe(II), </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 0 complex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learned about the basic principles of M&amp;#246;ssbauer spectroscopy, including details on the experimental setup, the gamma ray source, and the information that can be gathered from a M&amp;#246;ssbauer spectrum. We collected the zero field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M&amp;#246;ssbauer spectrum of ferrocene.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M&amp;#246;ssbauer spectroscopy is a powerful technique that provides information about the electronic field gradient around an atom. While there are numerous M&amp;#246;ssbauer active atoms, only elements with a suitable gamma ray source (long-lived and low-lying excited nuclear energy state) can take advantage of this technique. The most commonly studied atom is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which is used to characterize inorganic/organometallic molecular species, bioinorganic molecules, and minerals. For example, M&amp;#246;ssbauer spectroscopy has been used extensively to study iron-sulfur (Fe/S) clusters found in metalloproteins. Fe/S clusters are involved in a variety of functions, ranging from electron transport to catalysis.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Fe M&amp;#246;ssbauer spectroscopy has helped elucidate valuable information about Fe/S clusters in proteins, including, but not limited to, the number of unique iron centers present in a Fe/S cluster as well as the oxidation state and spin state of those 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