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Tamara M. Powers, Texas A&amp;amp;M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serves as a guide in the synthesis of two metal complexes featuring the ligand 1,1’-bis(diphenylphosphino)ferrocene (dppf): M(dppf)Cl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where M = Ni or Pd. While both of these transition metal complexes are 4-coordinate, they exhibit different geometries at the metal center. Using molecular orbital (MO) theory in conjunction with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Evans method, we will determine the geometry of these two compounds.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 variety of models that chemists use to describe bonding in molecules. It is important to remember that models are representations of systems and therefore have strengths but also important limitations. For example, Lewis dot structures, the simplest method for describing how atoms share electrons, do not take into account the geometry of the atoms in the molecule. Valence Shell Electron Pair Repulsion (VSEPR) theory does describe the geometry of atoms, but it does not provide an explanation for the observation that isoelectronic species with the same number of valence electrons can exhibit different geometries. Especially for transition metal complexes, both of these models fall short in describing the bonding of metals. Crystal field theory is a bonding model that is specific to transition metal complexes. This model looks at the effects of a ligand’s electric field on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or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atomic orbitals of a metal center. The interaction results in a break in degeneracy of those atomic orbitals.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In this video, we will focus on</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MO theory, which is a powerful model that can be used to describe bonding in not only main group molecules, but also is suitable for modeling the bonding in transition metal complexes. Here, we will demonstrate how to generate an MO diagram of metal-containing compounds.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 Theory: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 theory describes chemical bonding as the linear combination of the atomic orbitals (LCAO) of each atom in a given compound. The MOs that result from LCAOs describe both the geometry and energy of the electrons shared by a number of atoms in the molecule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 directionality and strength of the bonds formed by given atoms).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review the basics of MO theory, first consider the diatomic molecule F</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(full MO diagram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 fluorine atom has 4 valence atomic orbitals: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y</w:t>
      </w:r>
      <w:r>
        <w:rPr>
          <w:rFonts w:ascii="Times New Roman" w:hAnsi="Times New Roman" w:cs="Times New Roman" w:eastAsia="Times New Roman"/>
          <w:color w:val="auto"/>
          <w:spacing w:val="0"/>
          <w:position w:val="0"/>
          <w:sz w:val="24"/>
          <w:shd w:fill="auto" w:val="clear"/>
        </w:rPr>
        <w:t xml:space="preserve">, and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z</w:t>
      </w:r>
      <w:r>
        <w:rPr>
          <w:rFonts w:ascii="Times New Roman" w:hAnsi="Times New Roman" w:cs="Times New Roman" w:eastAsia="Times New Roman"/>
          <w:color w:val="auto"/>
          <w:spacing w:val="0"/>
          <w:position w:val="0"/>
          <w:sz w:val="24"/>
          <w:shd w:fill="auto" w:val="clear"/>
        </w:rPr>
        <w:t xml:space="preserve">. The 2</w:t>
      </w:r>
      <w:r>
        <w:rPr>
          <w:rFonts w:ascii="Times New Roman" w:hAnsi="Times New Roman" w:cs="Times New Roman" w:eastAsia="Times New Roman"/>
          <w:i/>
          <w:color w:val="auto"/>
          <w:spacing w:val="0"/>
          <w:position w:val="0"/>
          <w:sz w:val="24"/>
          <w:shd w:fill="auto" w:val="clear"/>
        </w:rPr>
        <w:t xml:space="preserve">s </w:t>
      </w:r>
      <w:r>
        <w:rPr>
          <w:rFonts w:ascii="Times New Roman" w:hAnsi="Times New Roman" w:cs="Times New Roman" w:eastAsia="Times New Roman"/>
          <w:color w:val="auto"/>
          <w:spacing w:val="0"/>
          <w:position w:val="0"/>
          <w:sz w:val="24"/>
          <w:shd w:fill="auto" w:val="clear"/>
        </w:rPr>
        <w:t xml:space="preserve">orbital is lower in energy than the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atomic orbitals, which all have the same energy. A linear combination of atomic orbitals will occur between atomic orbitals of similar energy and of matching symmetry. In this case,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orbital on one F atom will interact with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orbital on the other F atom. The addition of these two orbitals results in the formation of a &amp;#963; bonding MO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Bonding is a stabilizing interaction and, therefore, the resulting &amp;#963; MO is lower in energy relative to the energy of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atomic orbitals. Subtracting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orbitals results in an anti-bonding interaction (destabilizing), designated as &amp;#963;*, which is higher in energy relative to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atomic orbitals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object w:dxaOrig="8985" w:dyaOrig="7146">
          <v:rect xmlns:o="urn:schemas-microsoft-com:office:office" xmlns:v="urn:schemas-microsoft-com:vml" id="rectole0000000000" style="width:449.250000pt;height:357.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MO diagram of F</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Likewise, the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atomic orbitals will combine to form bonding and anti-bonding interactions. Like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atomic orbitals, the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z</w:t>
      </w:r>
      <w:r>
        <w:rPr>
          <w:rFonts w:ascii="Times New Roman" w:hAnsi="Times New Roman" w:cs="Times New Roman" w:eastAsia="Times New Roman"/>
          <w:color w:val="auto"/>
          <w:spacing w:val="0"/>
          <w:position w:val="0"/>
          <w:sz w:val="24"/>
          <w:shd w:fill="auto" w:val="clear"/>
        </w:rPr>
        <w:t xml:space="preserve"> atomic orbitals (which lay along the 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 bond) form &amp;#963; and &amp;#963;* interactions. If we consider the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and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y</w:t>
      </w:r>
      <w:r>
        <w:rPr>
          <w:rFonts w:ascii="Times New Roman" w:hAnsi="Times New Roman" w:cs="Times New Roman" w:eastAsia="Times New Roman"/>
          <w:color w:val="auto"/>
          <w:spacing w:val="0"/>
          <w:position w:val="0"/>
          <w:sz w:val="24"/>
          <w:shd w:fill="auto" w:val="clear"/>
        </w:rPr>
        <w:t xml:space="preserve"> atomic orbitals, we see that they form different types of bonding and anti-bonding interactions, called </w:t>
      </w:r>
      <w:r>
        <w:rPr>
          <w:rFonts w:ascii="Times New Roman" w:hAnsi="Times New Roman" w:cs="Times New Roman" w:eastAsia="Times New Roman"/>
          <w:color w:val="auto"/>
          <w:spacing w:val="0"/>
          <w:position w:val="0"/>
          <w:sz w:val="24"/>
          <w:shd w:fill="auto" w:val="clear"/>
        </w:rPr>
        <w:t xml:space="preserve">π and π*, respectively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It is easy to differentiate between &amp;#963; and π bonds because &amp;#963; bonding orbitals are cylindrically symmetrical about the internuclear axis, while π orbitals have a nodal plane along the internuclear axis. The spatial overlap between atomic orbitals that form &amp;#963; bonds is greater than the spatial overlap between atomic orbitals that form π bonds. Therefore, the resulting π and π* MOs are less stabilized and destabilized, respectively, compared to the &amp;#963; and &amp;#963;* MOs formed by the 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z</w:t>
      </w:r>
      <w:r>
        <w:rPr>
          <w:rFonts w:ascii="Times New Roman" w:hAnsi="Times New Roman" w:cs="Times New Roman" w:eastAsia="Times New Roman"/>
          <w:color w:val="auto"/>
          <w:spacing w:val="0"/>
          <w:position w:val="0"/>
          <w:sz w:val="24"/>
          <w:shd w:fill="auto" w:val="clear"/>
        </w:rPr>
        <w:t xml:space="preserve"> atomic orbitals. We can then fill the MOs with the valence electrons for the two F atoms.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consider a more complex molecule such as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If we were to use the same process as above (considering the atomic orbital overlap between 2 atoms at a time), generating an MO diagram of this molecule would be extremely challenging. Instead, we can use group theory to first generate a symmetry adapted linear combination (SALC) of the ligands. We can then use symmetry to determine the bonding/anti-bonding interactions that form between the atomic orbitals on the metal and the resulting SALCs.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368" w:dyaOrig="2603">
          <v:rect xmlns:o="urn:schemas-microsoft-com:office:office" xmlns:v="urn:schemas-microsoft-com:vml" id="rectole0000000001" style="width:168.400000pt;height:130.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bl>
      <w:tblPr>
        <w:tblInd w:w="8" w:type="dxa"/>
      </w:tblPr>
      <w:tblGrid>
        <w:gridCol w:w="416"/>
        <w:gridCol w:w="432"/>
        <w:gridCol w:w="433"/>
        <w:gridCol w:w="433"/>
        <w:gridCol w:w="433"/>
        <w:gridCol w:w="512"/>
        <w:gridCol w:w="432"/>
        <w:gridCol w:w="432"/>
        <w:gridCol w:w="432"/>
        <w:gridCol w:w="432"/>
        <w:gridCol w:w="432"/>
        <w:gridCol w:w="1042"/>
        <w:gridCol w:w="1600"/>
      </w:tblGrid>
      <w:tr>
        <w:trPr>
          <w:trHeight w:val="399" w:hRule="auto"/>
          <w:jc w:val="left"/>
        </w:trPr>
        <w:tc>
          <w:tcPr>
            <w:tcW w:w="416" w:type="dxa"/>
            <w:tcBorders>
              <w:top w:val="single" w:color="000000" w:sz="6"/>
              <w:left w:val="single" w:color="000000" w:sz="6"/>
              <w:bottom w:val="single" w:color="000000" w:sz="4"/>
              <w:right w:val="single" w:color="000000" w:sz="4"/>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vertAlign w:val="subscript"/>
              </w:rPr>
              <w:t xml:space="preserve">h</w:t>
            </w:r>
          </w:p>
        </w:tc>
        <w:tc>
          <w:tcPr>
            <w:tcW w:w="432" w:type="dxa"/>
            <w:tcBorders>
              <w:top w:val="single" w:color="000000" w:sz="6"/>
              <w:left w:val="single" w:color="000000" w:sz="4"/>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E</w:t>
            </w:r>
          </w:p>
        </w:tc>
        <w:tc>
          <w:tcPr>
            <w:tcW w:w="433"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vertAlign w:val="subscript"/>
              </w:rPr>
              <w:t xml:space="preserve">3</w:t>
            </w:r>
          </w:p>
        </w:tc>
        <w:tc>
          <w:tcPr>
            <w:tcW w:w="433"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vertAlign w:val="subscript"/>
              </w:rPr>
              <w:t xml:space="preserve">2</w:t>
            </w:r>
          </w:p>
        </w:tc>
        <w:tc>
          <w:tcPr>
            <w:tcW w:w="433"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vertAlign w:val="subscript"/>
              </w:rPr>
              <w:t xml:space="preserve">4</w:t>
            </w:r>
          </w:p>
        </w:tc>
        <w:tc>
          <w:tcPr>
            <w:tcW w:w="51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i</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i/>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vertAlign w:val="subscript"/>
              </w:rPr>
              <w:t xml:space="preserve">4</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i/>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vertAlign w:val="subscript"/>
              </w:rPr>
              <w:t xml:space="preserve">6</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3&amp;#963;</w:t>
            </w:r>
            <w:r>
              <w:rPr>
                <w:rFonts w:ascii="Times New Roman" w:hAnsi="Times New Roman" w:cs="Times New Roman" w:eastAsia="Times New Roman"/>
                <w:b/>
                <w:color w:val="auto"/>
                <w:spacing w:val="0"/>
                <w:position w:val="0"/>
                <w:sz w:val="24"/>
                <w:shd w:fill="auto" w:val="clear"/>
                <w:vertAlign w:val="subscript"/>
              </w:rPr>
              <w:t xml:space="preserve">h</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3&amp;#963;</w:t>
            </w:r>
            <w:r>
              <w:rPr>
                <w:rFonts w:ascii="Times New Roman" w:hAnsi="Times New Roman" w:cs="Times New Roman" w:eastAsia="Times New Roman"/>
                <w:b/>
                <w:color w:val="auto"/>
                <w:spacing w:val="0"/>
                <w:position w:val="0"/>
                <w:sz w:val="24"/>
                <w:shd w:fill="auto" w:val="clear"/>
                <w:vertAlign w:val="subscript"/>
              </w:rPr>
              <w:t xml:space="preserve">d</w:t>
            </w:r>
          </w:p>
        </w:tc>
        <w:tc>
          <w:tcPr>
            <w:tcW w:w="104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4"/>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vertAlign w:val="subscript"/>
              </w:rPr>
              <w:t xml:space="preserve">1g</w:t>
            </w:r>
          </w:p>
        </w:tc>
        <w:tc>
          <w:tcPr>
            <w:tcW w:w="432" w:type="dxa"/>
            <w:tcBorders>
              <w:top w:val="single" w:color="000000" w:sz="4"/>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4"/>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x</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+y</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+z</w:t>
            </w:r>
            <w:r>
              <w:rPr>
                <w:rFonts w:ascii="Times New Roman" w:hAnsi="Times New Roman" w:cs="Times New Roman" w:eastAsia="Times New Roman"/>
                <w:color w:val="000000"/>
                <w:spacing w:val="0"/>
                <w:position w:val="0"/>
                <w:sz w:val="24"/>
                <w:shd w:fill="auto" w:val="clear"/>
                <w:vertAlign w:val="superscript"/>
              </w:rPr>
              <w:t xml:space="preserve">2</w:t>
            </w: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vertAlign w:val="subscript"/>
              </w:rPr>
              <w:t xml:space="preserve">2g</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w:t>
            </w:r>
            <w:r>
              <w:rPr>
                <w:rFonts w:ascii="Times New Roman" w:hAnsi="Times New Roman" w:cs="Times New Roman" w:eastAsia="Times New Roman"/>
                <w:color w:val="000000"/>
                <w:spacing w:val="0"/>
                <w:position w:val="0"/>
                <w:sz w:val="24"/>
                <w:shd w:fill="auto" w:val="clear"/>
                <w:vertAlign w:val="subscript"/>
              </w:rPr>
              <w:t xml:space="preserve">g</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(2z</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-x</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-y</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x</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-y</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vertAlign w:val="subscript"/>
              </w:rPr>
              <w:t xml:space="preserve">1g</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x</w:t>
            </w:r>
            <w:r>
              <w:rPr>
                <w:rFonts w:ascii="Times New Roman" w:hAnsi="Times New Roman" w:cs="Times New Roman" w:eastAsia="Times New Roman"/>
                <w:color w:val="000000"/>
                <w:spacing w:val="0"/>
                <w:position w:val="0"/>
                <w:sz w:val="24"/>
                <w:shd w:fill="auto" w:val="clear"/>
              </w:rPr>
              <w:t xml:space="preserve">, R</w:t>
            </w:r>
            <w:r>
              <w:rPr>
                <w:rFonts w:ascii="Times New Roman" w:hAnsi="Times New Roman" w:cs="Times New Roman" w:eastAsia="Times New Roman"/>
                <w:color w:val="000000"/>
                <w:spacing w:val="0"/>
                <w:position w:val="0"/>
                <w:sz w:val="24"/>
                <w:shd w:fill="auto" w:val="clear"/>
                <w:vertAlign w:val="subscript"/>
              </w:rPr>
              <w:t xml:space="preserve">y</w:t>
            </w:r>
            <w:r>
              <w:rPr>
                <w:rFonts w:ascii="Times New Roman" w:hAnsi="Times New Roman" w:cs="Times New Roman" w:eastAsia="Times New Roman"/>
                <w:color w:val="000000"/>
                <w:spacing w:val="0"/>
                <w:position w:val="0"/>
                <w:sz w:val="24"/>
                <w:shd w:fill="auto" w:val="clear"/>
              </w:rPr>
              <w:t xml:space="preserve">, R</w:t>
            </w:r>
            <w:r>
              <w:rPr>
                <w:rFonts w:ascii="Times New Roman" w:hAnsi="Times New Roman" w:cs="Times New Roman" w:eastAsia="Times New Roman"/>
                <w:color w:val="000000"/>
                <w:spacing w:val="0"/>
                <w:position w:val="0"/>
                <w:sz w:val="24"/>
                <w:shd w:fill="auto" w:val="clear"/>
                <w:vertAlign w:val="subscript"/>
              </w:rPr>
              <w:t xml:space="preserve">z</w:t>
            </w:r>
            <w:r>
              <w:rPr>
                <w:rFonts w:ascii="Times New Roman" w:hAnsi="Times New Roman" w:cs="Times New Roman" w:eastAsia="Times New Roman"/>
                <w:color w:val="000000"/>
                <w:spacing w:val="0"/>
                <w:position w:val="0"/>
                <w:sz w:val="24"/>
                <w:shd w:fill="auto" w:val="clear"/>
              </w:rPr>
              <w:t xml:space="preserve">)</w:t>
            </w: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vertAlign w:val="subscript"/>
              </w:rPr>
              <w:t xml:space="preserve">2g</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(xz, yz, xy)</w:t>
            </w: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vertAlign w:val="subscript"/>
              </w:rPr>
              <w:t xml:space="preserve">1u</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vertAlign w:val="subscript"/>
              </w:rPr>
              <w:t xml:space="preserve">2u</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w:t>
            </w:r>
            <w:r>
              <w:rPr>
                <w:rFonts w:ascii="Times New Roman" w:hAnsi="Times New Roman" w:cs="Times New Roman" w:eastAsia="Times New Roman"/>
                <w:color w:val="000000"/>
                <w:spacing w:val="0"/>
                <w:position w:val="0"/>
                <w:sz w:val="24"/>
                <w:shd w:fill="auto" w:val="clear"/>
                <w:vertAlign w:val="subscript"/>
              </w:rPr>
              <w:t xml:space="preserve">u</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6"/>
              <w:left w:val="single" w:color="000000" w:sz="6"/>
              <w:bottom w:val="single" w:color="000000" w:sz="6"/>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vertAlign w:val="subscript"/>
              </w:rPr>
              <w:t xml:space="preserve">1u</w:t>
            </w:r>
          </w:p>
        </w:tc>
        <w:tc>
          <w:tcPr>
            <w:tcW w:w="432" w:type="dxa"/>
            <w:tcBorders>
              <w:top w:val="single" w:color="000000" w:sz="6"/>
              <w:left w:val="single" w:color="000000" w:sz="4"/>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(x, y, z)</w:t>
            </w:r>
          </w:p>
        </w:tc>
        <w:tc>
          <w:tcPr>
            <w:tcW w:w="1600" w:type="dxa"/>
            <w:tcBorders>
              <w:top w:val="single" w:color="000000" w:sz="6"/>
              <w:left w:val="single" w:color="000000" w:sz="6"/>
              <w:bottom w:val="single" w:color="000000" w:sz="6"/>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6"/>
              <w:left w:val="single" w:color="000000" w:sz="6"/>
              <w:bottom w:val="single" w:color="000000" w:sz="4"/>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vertAlign w:val="subscript"/>
              </w:rPr>
              <w:t xml:space="preserve">2u</w:t>
            </w:r>
          </w:p>
        </w:tc>
        <w:tc>
          <w:tcPr>
            <w:tcW w:w="432" w:type="dxa"/>
            <w:tcBorders>
              <w:top w:val="single" w:color="000000" w:sz="6"/>
              <w:left w:val="single" w:color="000000" w:sz="4"/>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3"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3"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51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3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042"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6"/>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6" w:type="dxa"/>
            <w:tcBorders>
              <w:top w:val="single" w:color="000000" w:sz="4"/>
              <w:left w:val="single" w:color="000000" w:sz="6"/>
              <w:bottom w:val="single" w:color="000000" w:sz="4"/>
              <w:right w:val="single" w:color="000000" w:sz="4"/>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Γ</w:t>
            </w:r>
            <w:r>
              <w:rPr>
                <w:rFonts w:ascii="Times New Roman" w:hAnsi="Times New Roman" w:cs="Times New Roman" w:eastAsia="Times New Roman"/>
                <w:color w:val="000000"/>
                <w:spacing w:val="0"/>
                <w:position w:val="0"/>
                <w:sz w:val="24"/>
                <w:shd w:fill="auto" w:val="clear"/>
                <w:vertAlign w:val="subscript"/>
              </w:rPr>
              <w:t xml:space="preserve">red</w:t>
            </w:r>
          </w:p>
        </w:tc>
        <w:tc>
          <w:tcPr>
            <w:tcW w:w="432" w:type="dxa"/>
            <w:tcBorders>
              <w:top w:val="single" w:color="000000" w:sz="4"/>
              <w:left w:val="single" w:color="000000" w:sz="4"/>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w:t>
            </w:r>
          </w:p>
        </w:tc>
        <w:tc>
          <w:tcPr>
            <w:tcW w:w="433"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3"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51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3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43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43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1042"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00" w:type="dxa"/>
            <w:tcBorders>
              <w:top w:val="single" w:color="000000" w:sz="4"/>
              <w:left w:val="single" w:color="000000" w:sz="6"/>
              <w:bottom w:val="single" w:color="000000" w:sz="4"/>
              <w:right w:val="single" w:color="000000" w:sz="6"/>
            </w:tcBorders>
            <w:shd w:color="auto" w:fill="ffffff" w:val="clear"/>
            <w:tcMar>
              <w:left w:w="36" w:type="dxa"/>
              <w:right w:w="36"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Γ</w:t>
      </w:r>
      <w:r>
        <w:rPr>
          <w:rFonts w:ascii="Times New Roman" w:hAnsi="Times New Roman" w:cs="Times New Roman" w:eastAsia="Times New Roman"/>
          <w:b/>
          <w:color w:val="000000"/>
          <w:spacing w:val="0"/>
          <w:position w:val="0"/>
          <w:sz w:val="24"/>
          <w:shd w:fill="auto" w:val="clear"/>
          <w:vertAlign w:val="subscript"/>
        </w:rPr>
        <w:t xml:space="preserve">red</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b/>
          <w:color w:val="000000"/>
          <w:spacing w:val="0"/>
          <w:position w:val="0"/>
          <w:sz w:val="24"/>
          <w:shd w:fill="auto" w:val="clear"/>
          <w:vertAlign w:val="subscript"/>
        </w:rPr>
        <w:t xml:space="preserve">1g</w:t>
      </w:r>
      <w:r>
        <w:rPr>
          <w:rFonts w:ascii="Times New Roman" w:hAnsi="Times New Roman" w:cs="Times New Roman" w:eastAsia="Times New Roman"/>
          <w:b/>
          <w:color w:val="000000"/>
          <w:spacing w:val="0"/>
          <w:position w:val="0"/>
          <w:sz w:val="24"/>
          <w:shd w:fill="auto" w:val="clear"/>
        </w:rPr>
        <w:t xml:space="preserve"> + E</w:t>
      </w:r>
      <w:r>
        <w:rPr>
          <w:rFonts w:ascii="Times New Roman" w:hAnsi="Times New Roman" w:cs="Times New Roman" w:eastAsia="Times New Roman"/>
          <w:b/>
          <w:color w:val="000000"/>
          <w:spacing w:val="0"/>
          <w:position w:val="0"/>
          <w:sz w:val="24"/>
          <w:shd w:fill="auto" w:val="clear"/>
          <w:vertAlign w:val="subscript"/>
        </w:rPr>
        <w:t xml:space="preserve">g</w:t>
      </w:r>
      <w:r>
        <w:rPr>
          <w:rFonts w:ascii="Times New Roman" w:hAnsi="Times New Roman" w:cs="Times New Roman" w:eastAsia="Times New Roman"/>
          <w:b/>
          <w:color w:val="000000"/>
          <w:spacing w:val="0"/>
          <w:position w:val="0"/>
          <w:sz w:val="24"/>
          <w:shd w:fill="auto" w:val="clear"/>
        </w:rPr>
        <w:t xml:space="preserve"> + T</w:t>
      </w:r>
      <w:r>
        <w:rPr>
          <w:rFonts w:ascii="Times New Roman" w:hAnsi="Times New Roman" w:cs="Times New Roman" w:eastAsia="Times New Roman"/>
          <w:b/>
          <w:color w:val="000000"/>
          <w:spacing w:val="0"/>
          <w:position w:val="0"/>
          <w:sz w:val="24"/>
          <w:shd w:fill="auto" w:val="clear"/>
          <w:vertAlign w:val="subscript"/>
        </w:rPr>
        <w:t xml:space="preserve">1u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Linear combination of ligand atomic orbitals of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generate the SALCs for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we follow a similar procedure outlined in the “Group Theory” video in the </w:t>
      </w:r>
      <w:r>
        <w:rPr>
          <w:rFonts w:ascii="Times New Roman" w:hAnsi="Times New Roman" w:cs="Times New Roman" w:eastAsia="Times New Roman"/>
          <w:i/>
          <w:color w:val="auto"/>
          <w:spacing w:val="0"/>
          <w:position w:val="0"/>
          <w:sz w:val="24"/>
          <w:shd w:fill="auto" w:val="clear"/>
        </w:rPr>
        <w:t xml:space="preserve">Inorganic Chemistry</w:t>
      </w:r>
      <w:r>
        <w:rPr>
          <w:rFonts w:ascii="Times New Roman" w:hAnsi="Times New Roman" w:cs="Times New Roman" w:eastAsia="Times New Roman"/>
          <w:color w:val="auto"/>
          <w:spacing w:val="0"/>
          <w:position w:val="0"/>
          <w:sz w:val="24"/>
          <w:shd w:fill="auto" w:val="clear"/>
        </w:rPr>
        <w:t xml:space="preserve"> series: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Determine the point group of the molecule.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Generate a reducible representation of the ligand atomic orbitals.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Reduce the reducible representation to irreducible representations.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is in the point group </w:t>
      </w:r>
      <w:r>
        <w:rPr>
          <w:rFonts w:ascii="Times New Roman" w:hAnsi="Times New Roman" w:cs="Times New Roman" w:eastAsia="Times New Roman"/>
          <w:i/>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h</w:t>
      </w:r>
      <w:r>
        <w:rPr>
          <w:rFonts w:ascii="Times New Roman" w:hAnsi="Times New Roman" w:cs="Times New Roman" w:eastAsia="Times New Roman"/>
          <w:color w:val="auto"/>
          <w:spacing w:val="0"/>
          <w:position w:val="0"/>
          <w:sz w:val="24"/>
          <w:shd w:fill="auto" w:val="clear"/>
        </w:rPr>
        <w:t xml:space="preserve">. Since we are only concerned about the bonding at the metal center, we can simply consider the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atomic orbitals on each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ligand. If we follow steps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for the N 2</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orbitals we find that the reducible representation is </w:t>
      </w:r>
      <w:r>
        <w:rPr>
          <w:rFonts w:ascii="Times New Roman" w:hAnsi="Times New Roman" w:cs="Times New Roman" w:eastAsia="Times New Roman"/>
          <w:color w:val="auto"/>
          <w:spacing w:val="0"/>
          <w:position w:val="0"/>
          <w:sz w:val="24"/>
          <w:shd w:fill="auto" w:val="clear"/>
        </w:rPr>
        <w:t xml:space="preserve">Γ</w:t>
      </w:r>
      <w:r>
        <w:rPr>
          <w:rFonts w:ascii="Times New Roman" w:hAnsi="Times New Roman" w:cs="Times New Roman" w:eastAsia="Times New Roman"/>
          <w:color w:val="auto"/>
          <w:spacing w:val="0"/>
          <w:position w:val="0"/>
          <w:sz w:val="24"/>
          <w:shd w:fill="auto" w:val="clear"/>
          <w:vertAlign w:val="subscript"/>
        </w:rPr>
        <w:t xml:space="preserve">red</w:t>
      </w:r>
      <w:r>
        <w:rPr>
          <w:rFonts w:ascii="Times New Roman" w:hAnsi="Times New Roman" w:cs="Times New Roman" w:eastAsia="Times New Roman"/>
          <w:color w:val="auto"/>
          <w:spacing w:val="0"/>
          <w:position w:val="0"/>
          <w:sz w:val="24"/>
          <w:shd w:fill="auto" w:val="clear"/>
        </w:rPr>
        <w:t xml:space="preserve"> = A</w:t>
      </w:r>
      <w:r>
        <w:rPr>
          <w:rFonts w:ascii="Times New Roman" w:hAnsi="Times New Roman" w:cs="Times New Roman" w:eastAsia="Times New Roman"/>
          <w:color w:val="auto"/>
          <w:spacing w:val="0"/>
          <w:position w:val="0"/>
          <w:sz w:val="24"/>
          <w:shd w:fill="auto" w:val="clear"/>
          <w:vertAlign w:val="subscript"/>
        </w:rPr>
        <w:t xml:space="preserve">1g </w:t>
      </w:r>
      <w:r>
        <w:rPr>
          <w:rFonts w:ascii="Times New Roman" w:hAnsi="Times New Roman" w:cs="Times New Roman" w:eastAsia="Times New Roman"/>
          <w:color w:val="auto"/>
          <w:spacing w:val="0"/>
          <w:position w:val="0"/>
          <w:sz w:val="24"/>
          <w:shd w:fill="auto" w:val="clear"/>
        </w:rPr>
        <w:t xml:space="preserve">+ E</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 T</w:t>
      </w:r>
      <w:r>
        <w:rPr>
          <w:rFonts w:ascii="Times New Roman" w:hAnsi="Times New Roman" w:cs="Times New Roman" w:eastAsia="Times New Roman"/>
          <w:color w:val="auto"/>
          <w:spacing w:val="0"/>
          <w:position w:val="0"/>
          <w:sz w:val="24"/>
          <w:shd w:fill="auto" w:val="clear"/>
          <w:vertAlign w:val="subscript"/>
        </w:rPr>
        <w:t xml:space="preserve">1u</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While the A</w:t>
      </w:r>
      <w:r>
        <w:rPr>
          <w:rFonts w:ascii="Times New Roman" w:hAnsi="Times New Roman" w:cs="Times New Roman" w:eastAsia="Times New Roman"/>
          <w:color w:val="auto"/>
          <w:spacing w:val="0"/>
          <w:position w:val="0"/>
          <w:sz w:val="24"/>
          <w:shd w:fill="auto" w:val="clear"/>
          <w:vertAlign w:val="subscript"/>
        </w:rPr>
        <w:t xml:space="preserve">1g </w:t>
      </w:r>
      <w:r>
        <w:rPr>
          <w:rFonts w:ascii="Times New Roman" w:hAnsi="Times New Roman" w:cs="Times New Roman" w:eastAsia="Times New Roman"/>
          <w:color w:val="auto"/>
          <w:spacing w:val="0"/>
          <w:position w:val="0"/>
          <w:sz w:val="24"/>
          <w:shd w:fill="auto" w:val="clear"/>
        </w:rPr>
        <w:t xml:space="preserve">set represents 1 SALC, the E</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and T</w:t>
      </w:r>
      <w:r>
        <w:rPr>
          <w:rFonts w:ascii="Times New Roman" w:hAnsi="Times New Roman" w:cs="Times New Roman" w:eastAsia="Times New Roman"/>
          <w:color w:val="auto"/>
          <w:spacing w:val="0"/>
          <w:position w:val="0"/>
          <w:sz w:val="24"/>
          <w:shd w:fill="auto" w:val="clear"/>
          <w:vertAlign w:val="subscript"/>
        </w:rPr>
        <w:t xml:space="preserve">1u</w:t>
      </w:r>
      <w:r>
        <w:rPr>
          <w:rFonts w:ascii="Times New Roman" w:hAnsi="Times New Roman" w:cs="Times New Roman" w:eastAsia="Times New Roman"/>
          <w:color w:val="auto"/>
          <w:spacing w:val="0"/>
          <w:position w:val="0"/>
          <w:sz w:val="24"/>
          <w:shd w:fill="auto" w:val="clear"/>
        </w:rPr>
        <w:t xml:space="preserve"> sets actually represent 2 and 3 SALCs, respectively, giving a total of 6 SALCs (the same number of ligands in the cation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 2 SALCs in the E</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set have the same symmetry and will result in degenerate MOs when they interact with the atomic orbitals of the Co (the same can be said about the 3 SALCs in the T</w:t>
      </w:r>
      <w:r>
        <w:rPr>
          <w:rFonts w:ascii="Times New Roman" w:hAnsi="Times New Roman" w:cs="Times New Roman" w:eastAsia="Times New Roman"/>
          <w:color w:val="auto"/>
          <w:spacing w:val="0"/>
          <w:position w:val="0"/>
          <w:sz w:val="24"/>
          <w:shd w:fill="auto" w:val="clear"/>
          <w:vertAlign w:val="subscript"/>
        </w:rPr>
        <w:t xml:space="preserve">1u</w:t>
      </w:r>
      <w:r>
        <w:rPr>
          <w:rFonts w:ascii="Times New Roman" w:hAnsi="Times New Roman" w:cs="Times New Roman" w:eastAsia="Times New Roman"/>
          <w:color w:val="auto"/>
          <w:spacing w:val="0"/>
          <w:position w:val="0"/>
          <w:sz w:val="24"/>
          <w:shd w:fill="auto" w:val="clear"/>
        </w:rPr>
        <w:t xml:space="preserve"> set). Using the character table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we can determine how the atomic orbitals of Co transform in the </w:t>
      </w:r>
      <w:r>
        <w:rPr>
          <w:rFonts w:ascii="Times New Roman" w:hAnsi="Times New Roman" w:cs="Times New Roman" w:eastAsia="Times New Roman"/>
          <w:i/>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h</w:t>
      </w:r>
      <w:r>
        <w:rPr>
          <w:rFonts w:ascii="Times New Roman" w:hAnsi="Times New Roman" w:cs="Times New Roman" w:eastAsia="Times New Roman"/>
          <w:color w:val="auto"/>
          <w:spacing w:val="0"/>
          <w:position w:val="0"/>
          <w:sz w:val="24"/>
          <w:shd w:fill="auto" w:val="clear"/>
        </w:rPr>
        <w:t xml:space="preserve"> point group. For example, the  and  orbitals form an E</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set. Since we have 2 ligand SALCs with E</w:t>
      </w:r>
      <w:r>
        <w:rPr>
          <w:rFonts w:ascii="Times New Roman" w:hAnsi="Times New Roman" w:cs="Times New Roman" w:eastAsia="Times New Roman"/>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symmetry, those SALCs will form bonding/anti-bonding interactions with the  and  Co atomic orbitals. Continuing in the same fashion for all of the valence atomic orbitals of Co, we generate an MO diagram for the transition metal complex,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Notice that the remaining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-orbitals (, , and ) transform as a set (T</w:t>
      </w:r>
      <w:r>
        <w:rPr>
          <w:rFonts w:ascii="Times New Roman" w:hAnsi="Times New Roman" w:cs="Times New Roman" w:eastAsia="Times New Roman"/>
          <w:color w:val="auto"/>
          <w:spacing w:val="0"/>
          <w:position w:val="0"/>
          <w:sz w:val="24"/>
          <w:shd w:fill="auto" w:val="clear"/>
          <w:vertAlign w:val="subscript"/>
        </w:rPr>
        <w:t xml:space="preserve">2g</w:t>
      </w:r>
      <w:r>
        <w:rPr>
          <w:rFonts w:ascii="Times New Roman" w:hAnsi="Times New Roman" w:cs="Times New Roman" w:eastAsia="Times New Roman"/>
          <w:color w:val="auto"/>
          <w:spacing w:val="0"/>
          <w:position w:val="0"/>
          <w:sz w:val="24"/>
          <w:shd w:fill="auto" w:val="clear"/>
        </w:rPr>
        <w:t xml:space="preserve">) but do not have an appropriate symmetry matched SALC. These atomic orbitals therefore become “non-bonding” MOs. In other words, they do not participate in bonding with the ligands in this transition metal complex.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985" w:dyaOrig="7723">
          <v:rect xmlns:o="urn:schemas-microsoft-com:office:office" xmlns:v="urn:schemas-microsoft-com:vml" id="rectole0000000002" style="width:449.250000pt;height:386.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MO diagram for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Highlighted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are the non-bonding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-orbitals and the &amp;#963;*</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orbitals with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character. When this group of MOs is considered separately from the entire MO diagram it is referred to as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of a transition metal complex. Since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contains the HOMO and the LUMO, which are typically the most important orbitals to understand the chemistry and spectroscopy of coordination complexes, chemists will often refer to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instead of the entire MO diagram. Conveniently,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can be filled with the number of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on the metal center, since the ligand-based electrons always fill the &amp;#963;-based MOs in the MO diagram.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Considering the </w:t>
      </w:r>
      <w:r>
        <w:rPr>
          <w:rFonts w:ascii="Times New Roman" w:hAnsi="Times New Roman" w:cs="Times New Roman" w:eastAsia="Times New Roman"/>
          <w:b/>
          <w:i/>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-orbital Splitting Diagrams for</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dppfMCl</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 a simple 4-coordinate metal complex MX</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MX</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can exist in two geometries: tetrahedral or square planar.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diagrams for the point groups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 (tetrahedral) and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vertAlign w:val="subscript"/>
        </w:rPr>
        <w:t xml:space="preserve">4h</w:t>
      </w:r>
      <w:r>
        <w:rPr>
          <w:rFonts w:ascii="Times New Roman" w:hAnsi="Times New Roman" w:cs="Times New Roman" w:eastAsia="Times New Roman"/>
          <w:color w:val="auto"/>
          <w:spacing w:val="0"/>
          <w:position w:val="0"/>
          <w:sz w:val="24"/>
          <w:shd w:fill="auto" w:val="clear"/>
        </w:rPr>
        <w:t xml:space="preserve"> (square planar) is shown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While the general metal complexes M(dppf)Cl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do not have 4 equivalent ligands, and therefore are not in the point groups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 or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vertAlign w:val="subscript"/>
        </w:rPr>
        <w:t xml:space="preserve">4h</w:t>
      </w:r>
      <w:r>
        <w:rPr>
          <w:rFonts w:ascii="Times New Roman" w:hAnsi="Times New Roman" w:cs="Times New Roman" w:eastAsia="Times New Roman"/>
          <w:color w:val="auto"/>
          <w:spacing w:val="0"/>
          <w:position w:val="0"/>
          <w:sz w:val="24"/>
          <w:shd w:fill="auto" w:val="clear"/>
        </w:rPr>
        <w:t xml:space="preserve">, we can still use these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diagrams as a </w:t>
      </w:r>
      <w:r>
        <w:rPr>
          <w:rFonts w:ascii="Times New Roman" w:hAnsi="Times New Roman" w:cs="Times New Roman" w:eastAsia="Times New Roman"/>
          <w:b/>
          <w:color w:val="auto"/>
          <w:spacing w:val="0"/>
          <w:position w:val="0"/>
          <w:sz w:val="24"/>
          <w:shd w:fill="auto" w:val="clear"/>
        </w:rPr>
        <w:t xml:space="preserve">model</w:t>
      </w:r>
      <w:r>
        <w:rPr>
          <w:rFonts w:ascii="Times New Roman" w:hAnsi="Times New Roman" w:cs="Times New Roman" w:eastAsia="Times New Roman"/>
          <w:color w:val="auto"/>
          <w:spacing w:val="0"/>
          <w:position w:val="0"/>
          <w:sz w:val="24"/>
          <w:shd w:fill="auto" w:val="clear"/>
        </w:rPr>
        <w:t xml:space="preserve"> to describe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MOs for the two possible geometries.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630" w:dyaOrig="3437">
          <v:rect xmlns:o="urn:schemas-microsoft-com:office:office" xmlns:v="urn:schemas-microsoft-com:vml" id="rectole0000000003" style="width:431.500000pt;height:171.8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diagrams for the point groups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 (tetrahedral) and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vertAlign w:val="subscript"/>
        </w:rPr>
        <w:t xml:space="preserve">4h</w:t>
      </w:r>
      <w:r>
        <w:rPr>
          <w:rFonts w:ascii="Times New Roman" w:hAnsi="Times New Roman" w:cs="Times New Roman" w:eastAsia="Times New Roman"/>
          <w:color w:val="auto"/>
          <w:spacing w:val="0"/>
          <w:position w:val="0"/>
          <w:sz w:val="24"/>
          <w:shd w:fill="auto" w:val="clear"/>
        </w:rPr>
        <w:t xml:space="preserve"> (square planar).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consider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-electron count for M(dppf)Cl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Both Ni and Pd are in Group 10 of the periodic table. Therefore, they will both have the same oxidation state (2+) and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-electron count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If we fill the two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diagrams above with 8 electrons, we see that the square planar geometry results in a diamagnetic complex, while the tetrahedral MO diagram is consistent with a paramagnetic species. There are several factors that go into determining which geometry is energetically favored. In the square planar geometry, there are fewer electrons in anti-bonding orbitals, which would indicate that the square planar geometry is more </w:t>
      </w:r>
      <w:r>
        <w:rPr>
          <w:rFonts w:ascii="Times New Roman" w:hAnsi="Times New Roman" w:cs="Times New Roman" w:eastAsia="Times New Roman"/>
          <w:b/>
          <w:color w:val="auto"/>
          <w:spacing w:val="0"/>
          <w:position w:val="0"/>
          <w:sz w:val="24"/>
          <w:shd w:fill="auto" w:val="clear"/>
        </w:rPr>
        <w:t xml:space="preserve">electronically</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favored. However, we also need to consider the energy required to pair electrons. The electron pairing energy in square planar molecules is higher than that in tetrahedral molecules, which have fewer completely filled orbitals. Finally, we need to consider the amount the &amp;#963;*</w:t>
      </w:r>
      <w:r>
        <w:rPr>
          <w:rFonts w:ascii="Times New Roman" w:hAnsi="Times New Roman" w:cs="Times New Roman" w:eastAsia="Times New Roman"/>
          <w:i/>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-orbitals are destabilized. Larger metal atoms have greater spatial overlap with ligands, resulting in higher energy &amp;#963;*</w:t>
      </w:r>
      <w:r>
        <w:rPr>
          <w:rFonts w:ascii="Times New Roman" w:hAnsi="Times New Roman" w:cs="Times New Roman" w:eastAsia="Times New Roman"/>
          <w:i/>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-orbitals.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we also need to consider the energy contribution from steric repulsions. Tetrahedral geometry is more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sterically</w:t>
      </w:r>
      <w:r>
        <w:rPr>
          <w:rFonts w:ascii="Times New Roman" w:hAnsi="Times New Roman" w:cs="Times New Roman" w:eastAsia="Times New Roman"/>
          <w:color w:val="auto"/>
          <w:spacing w:val="0"/>
          <w:position w:val="0"/>
          <w:sz w:val="24"/>
          <w:shd w:fill="auto" w:val="clear"/>
        </w:rPr>
        <w:t xml:space="preserve"> favored (with angles of 109.5 &amp;#176;) compared to square planar geometry (90 &amp;#176;). Therefore, there are several opposing factors that affect which geometry is more favored, given the identity of M in M(dppf)Cl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will be able to distinguish between these two geometries using NMR. If the molecule is square planar, we will observe a diagnostic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of a</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diamagnetic species. If the molecule is tetrahedral, we will observe paramagnetic signals in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Finally, we will use the Evans method (see the “</w:t>
      </w:r>
      <w:r>
        <w:rPr>
          <w:rFonts w:ascii="Times New Roman" w:hAnsi="Times New Roman" w:cs="Times New Roman" w:eastAsia="Times New Roman"/>
          <w:i/>
          <w:color w:val="auto"/>
          <w:spacing w:val="0"/>
          <w:position w:val="0"/>
          <w:sz w:val="24"/>
          <w:shd w:fill="auto" w:val="clear"/>
        </w:rPr>
        <w:t xml:space="preserve">Evans Method</w:t>
      </w:r>
      <w:r>
        <w:rPr>
          <w:rFonts w:ascii="Times New Roman" w:hAnsi="Times New Roman" w:cs="Times New Roman" w:eastAsia="Times New Roman"/>
          <w:color w:val="auto"/>
          <w:spacing w:val="0"/>
          <w:position w:val="0"/>
          <w:sz w:val="24"/>
          <w:shd w:fill="auto" w:val="clear"/>
        </w:rPr>
        <w:t xml:space="preserve">” video for more details) to determine the solution magnetic moment of the paramagnetic species.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safety precautions, the Schlenk line safety should be reviewed prior to conducting the experiments. Glassware should be inspected for star cracks before using. Care should be taken to ensure that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not condensed in the Schlenk line trap if using liquid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 liquid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temperature,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condenses and is explosive in the presence of organic solvents. If it is suspected that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has been condensed or a blue liquid is observed in the cold trap, leave the trap cold under dynamic vacuum. Do </w:t>
      </w:r>
      <w:r>
        <w:rPr>
          <w:rFonts w:ascii="Times New Roman" w:hAnsi="Times New Roman" w:cs="Times New Roman" w:eastAsia="Times New Roman"/>
          <w:b/>
          <w:color w:val="auto"/>
          <w:spacing w:val="0"/>
          <w:position w:val="0"/>
          <w:sz w:val="24"/>
          <w:shd w:fill="auto" w:val="clear"/>
        </w:rPr>
        <w:t xml:space="preserve">NOT</w:t>
      </w:r>
      <w:r>
        <w:rPr>
          <w:rFonts w:ascii="Times New Roman" w:hAnsi="Times New Roman" w:cs="Times New Roman" w:eastAsia="Times New Roman"/>
          <w:color w:val="auto"/>
          <w:spacing w:val="0"/>
          <w:position w:val="0"/>
          <w:sz w:val="24"/>
          <w:shd w:fill="auto" w:val="clear"/>
        </w:rPr>
        <w:t xml:space="preserve"> remove the liquid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trap or turn off the vacuum pump</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Over time the liquid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will evaporate into the pump; it is only safe to remove the liquid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trap once all of the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has evaporated. For more information, see the “Synthesis of a Ti(III) Metallocene Using Schlenk line Technique” video.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Setup of the Schlenk Line for the Synthesis of Ni(dppf)Cl</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 and Pd(dppf)</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Cl</w:t>
      </w:r>
      <w:r>
        <w:rPr>
          <w:rFonts w:ascii="Times New Roman" w:hAnsi="Times New Roman" w:cs="Times New Roman" w:eastAsia="Times New Roman"/>
          <w:b/>
          <w:color w:val="auto"/>
          <w:spacing w:val="0"/>
          <w:position w:val="0"/>
          <w:sz w:val="24"/>
          <w:shd w:fill="auto" w:val="clear"/>
          <w:vertAlign w:val="subscript"/>
        </w:rPr>
        <w:t xml:space="preserve">2</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a more detailed procedure, please review the “Schlenk Lines Transfer of Solvent” video in the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w:t>
      </w: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Close the pressure release valve.</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Turn on the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 and the vacuum pump.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As the Schlenk line vacuum reaches its minimum pressure, prepare the cold trap with either liquid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or dry ice/acetone.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Assemble the cold trap.</w:t>
      </w: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Synthesis of Ni(dppf)Cl</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 (Figure 5) under Anaerobic/Inert Conditions</w:t>
      </w:r>
    </w:p>
    <w:p>
      <w:pPr>
        <w:spacing w:before="0" w:after="20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While the synthesis of Ni(dppf)Cl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can be conducted in aerobic conditions, higher yields are obtained when conducted in anaerobic conditions.</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Add 550 mg dppf (1 mmol) and 40 mL of isopropanol to a three-neck flask.</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dppf can be purchased from Sigma Aldrich or synthesized using methods found in the literature.</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Fit the center neck of the three-neck flask with a condenser and a vacuum adapter. Fit the two remaining necks with 1 glass stopper and 1 rubber septum.</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Degas the solution by bubbling N</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gas through the solvent for 15 min. Use the vacuum adapter at the top of the condenser as the “vent.”</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Connect the vacuum adapter at the top of the condenser to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using the Schlenk line. </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Begin heating the three-neck flask in a water bath set to 90 </w:t>
      </w:r>
      <w:r>
        <w:rPr>
          <w:rFonts w:ascii="Cambria" w:hAnsi="Cambria" w:cs="Cambria" w:eastAsia="Cambria"/>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In a single neck round bottom flask, add 237 mg NiCl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(1 mmol) to 4 mL of a 2:1 mixture of isopropanol (reagent grade) and methanol (reagent grade). Sonicate the resulting mixture until all of the Ni salt has dissolved (about 1 min).</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a Sonicator is not available, gently heat the mixture in a water bath.</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Degas the Ni solution by bubbling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 through the mixture for 5 min.</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Add the NiCl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solution to the three-neck round bottom flask via cannula transfer.</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Allow the reaction to reflux for 2 h at 90 </w:t>
      </w:r>
      <w:r>
        <w:rPr>
          <w:rFonts w:ascii="Cambria" w:hAnsi="Cambria" w:cs="Cambria" w:eastAsia="Cambria"/>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Allow the reaction to cool in an ice bath. Isolate the resulting green precipitate by vacuum filtration through a fritted funnel. </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Wash the product with 10 mL of cold isopropanol, followed by 10 mL of hexanes. </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Allow the product to air dry before preparing the NMR sample.</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Take a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of the product in chloroform-</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2.14.</w:t>
        <w:tab/>
      </w:r>
      <w:r>
        <w:rPr>
          <w:rFonts w:ascii="Times New Roman" w:hAnsi="Times New Roman" w:cs="Times New Roman" w:eastAsia="Times New Roman"/>
          <w:color w:val="auto"/>
          <w:spacing w:val="0"/>
          <w:position w:val="0"/>
          <w:sz w:val="24"/>
          <w:shd w:fill="auto" w:val="clear"/>
        </w:rPr>
        <w:t xml:space="preserve">If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is indicative of a paramagnetic species, prepare an NMR for the Evans method, following the instructions in step 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7086" w:dyaOrig="1396">
          <v:rect xmlns:o="urn:schemas-microsoft-com:office:office" xmlns:v="urn:schemas-microsoft-com:vml" id="rectole0000000004" style="width:354.300000pt;height:69.8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Synthesis of Ni(dppf)Cl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Synthesis of Pd(dppf)Cl</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b/>
          <w:color w:val="auto"/>
          <w:spacing w:val="0"/>
          <w:position w:val="0"/>
          <w:sz w:val="24"/>
          <w:shd w:fill="auto" w:val="clear"/>
          <w:vertAlign w:val="superscript"/>
        </w:rPr>
        <w:t xml:space="preserve">1</w:t>
      </w: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 standard Schlenk line techniques for the synthesis of Pd(dppf)Cl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(see the “Synthesis of a Ti(III) Metallocene Using Schlenk line Technique” video).</w:t>
      </w: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While the synthesis of Pd(dppf)Cl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can be conducted in aerobic conditions, higher yields are obtained when conducted in anaerobic conditions.</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Add 550 mg (1 mmol) dppf and 383 mg (1 mmol) bis(benzonitrile)palladium(II) chloride to a Schlenk flask and prepare the Schlenk flask for the cannula transfer of solvent.</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Add 20 mL of degassed toluene to the Schlenk flask via cannula transfer.</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Allow the reaction to stir for at least 12 h at room temperature.</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Isolate the resulting orange precipitate by vacuum filtration through a fritted funnel.</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Wash the product with toluene (10 mL), followed by hexanes (10 mL).</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Allow the product to air dry before preparing the NMR sample.</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Take a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of the product in chloroform-</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If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is indicative of a paramagnetic species, prepare an NMR for the Evans method following the instructions outlined in step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6843" w:dyaOrig="1356">
          <v:rect xmlns:o="urn:schemas-microsoft-com:office:office" xmlns:v="urn:schemas-microsoft-com:vml" id="rectole0000000005" style="width:342.150000pt;height:67.8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Synthesis of Pd(dppf)Cl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Preparation of the Evans Method Sample</w:t>
      </w: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a more detailed procedure, please refer to the “Evans method” video.</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In a scintillation vial, prepare a 50:1 (volume:volume) solution of chloroform-</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:trifluorotoluene. Pipette 2 mL of deuterated solvent, and to this add 40 &amp;#181;L of trifluorotoluene. Cap the vial. </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this example, we will be using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F NMR to observe the shift of the F signal in trifluorotoluene in the presence of the paramagnetic species.</w:t>
      </w:r>
    </w:p>
    <w:p>
      <w:pPr>
        <w:spacing w:before="0" w:after="20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With this solution, prepare the capillary insert.</w:t>
      </w:r>
    </w:p>
    <w:p>
      <w:pPr>
        <w:spacing w:before="0" w:after="12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Weigh 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mg of the paramagnetic sample into a new scintillation vial and note the mass. </w:t>
      </w:r>
    </w:p>
    <w:p>
      <w:pPr>
        <w:spacing w:before="0" w:after="12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Pipette ~ 600 &amp;#181;L of the prepared solvent mixture into the vial containing the paramagnetic species. Note the mass. Make sure that the solid completely dissolves.</w:t>
      </w:r>
    </w:p>
    <w:p>
      <w:pPr>
        <w:spacing w:before="0" w:after="12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In a standard NMR tube, carefully drop the capillary insert at an angle, to ensure it does not break.</w:t>
      </w:r>
    </w:p>
    <w:p>
      <w:pPr>
        <w:spacing w:before="0" w:after="12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Pipette the solution containing the paramagnetic species into the NMR tube.</w:t>
      </w:r>
    </w:p>
    <w:p>
      <w:pPr>
        <w:spacing w:before="0" w:after="12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4.7.</w:t>
        <w:tab/>
      </w:r>
      <w:r>
        <w:rPr>
          <w:rFonts w:ascii="Times New Roman" w:hAnsi="Times New Roman" w:cs="Times New Roman" w:eastAsia="Times New Roman"/>
          <w:color w:val="auto"/>
          <w:spacing w:val="0"/>
          <w:position w:val="0"/>
          <w:sz w:val="24"/>
          <w:shd w:fill="auto" w:val="clear"/>
        </w:rPr>
        <w:t xml:space="preserve">Acquire and save a standard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F NMR spectrum.</w:t>
      </w:r>
    </w:p>
    <w:p>
      <w:pPr>
        <w:spacing w:before="0" w:after="120" w:line="240"/>
        <w:ind w:right="0" w:left="1242"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4.8.</w:t>
        <w:tab/>
      </w:r>
      <w:r>
        <w:rPr>
          <w:rFonts w:ascii="Times New Roman" w:hAnsi="Times New Roman" w:cs="Times New Roman" w:eastAsia="Times New Roman"/>
          <w:color w:val="auto"/>
          <w:spacing w:val="0"/>
          <w:position w:val="0"/>
          <w:sz w:val="24"/>
          <w:shd w:fill="auto" w:val="clear"/>
        </w:rPr>
        <w:t xml:space="preserve">Note the temperature of the probe.</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124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4.9.</w:t>
        <w:tab/>
      </w:r>
      <w:r>
        <w:rPr>
          <w:rFonts w:ascii="Times New Roman" w:hAnsi="Times New Roman" w:cs="Times New Roman" w:eastAsia="Times New Roman"/>
          <w:color w:val="auto"/>
          <w:spacing w:val="0"/>
          <w:position w:val="0"/>
          <w:sz w:val="24"/>
          <w:shd w:fill="auto" w:val="clear"/>
        </w:rPr>
        <w:t xml:space="preserve">Note the radiofrequency.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Pd(dppf)Cl</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H NMR (chloroform-</w:t>
      </w:r>
      <w:r>
        <w:rPr>
          <w:rFonts w:ascii="Times New Roman" w:hAnsi="Times New Roman" w:cs="Times New Roman" w:eastAsia="Times New Roman"/>
          <w:i/>
          <w:color w:val="auto"/>
          <w:spacing w:val="0"/>
          <w:position w:val="0"/>
          <w:sz w:val="24"/>
          <w:shd w:fill="FFFFFF" w:val="clear"/>
        </w:rPr>
        <w:t xml:space="preserve">d</w:t>
      </w:r>
      <w:r>
        <w:rPr>
          <w:rFonts w:ascii="Times New Roman" w:hAnsi="Times New Roman" w:cs="Times New Roman" w:eastAsia="Times New Roman"/>
          <w:color w:val="auto"/>
          <w:spacing w:val="0"/>
          <w:position w:val="0"/>
          <w:sz w:val="24"/>
          <w:shd w:fill="FFFFFF" w:val="clear"/>
        </w:rPr>
        <w:t xml:space="preserve">, 400 MHz, </w:t>
      </w:r>
      <w:r>
        <w:rPr>
          <w:rFonts w:ascii="Times New Roman" w:hAnsi="Times New Roman" w:cs="Times New Roman" w:eastAsia="Times New Roman"/>
          <w:color w:val="auto"/>
          <w:spacing w:val="0"/>
          <w:position w:val="0"/>
          <w:sz w:val="24"/>
          <w:shd w:fill="FFFFFF" w:val="clear"/>
        </w:rPr>
        <w:t xml:space="preserve">δ, ppm): 4.22 (alpha-H), 4.42 (beta-H), 7.89, 7.44, 7.54 (aromatic).</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Ni(dppf)Cl</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H NMR (chloroform-</w:t>
      </w:r>
      <w:r>
        <w:rPr>
          <w:rFonts w:ascii="Times New Roman" w:hAnsi="Times New Roman" w:cs="Times New Roman" w:eastAsia="Times New Roman"/>
          <w:i/>
          <w:color w:val="auto"/>
          <w:spacing w:val="0"/>
          <w:position w:val="0"/>
          <w:sz w:val="24"/>
          <w:shd w:fill="FFFFFF" w:val="clear"/>
        </w:rPr>
        <w:t xml:space="preserve">d</w:t>
      </w:r>
      <w:r>
        <w:rPr>
          <w:rFonts w:ascii="Times New Roman" w:hAnsi="Times New Roman" w:cs="Times New Roman" w:eastAsia="Times New Roman"/>
          <w:color w:val="auto"/>
          <w:spacing w:val="0"/>
          <w:position w:val="0"/>
          <w:sz w:val="24"/>
          <w:shd w:fill="FFFFFF" w:val="clear"/>
        </w:rPr>
        <w:t xml:space="preserve">, 300 MHz, </w:t>
      </w:r>
      <w:r>
        <w:rPr>
          <w:rFonts w:ascii="Times New Roman" w:hAnsi="Times New Roman" w:cs="Times New Roman" w:eastAsia="Times New Roman"/>
          <w:color w:val="auto"/>
          <w:spacing w:val="0"/>
          <w:position w:val="0"/>
          <w:sz w:val="24"/>
          <w:shd w:fill="FFFFFF" w:val="clear"/>
        </w:rPr>
        <w:t xml:space="preserve">δ, ppm): 20.85, 10.04, 4.23, 3.98, 1.52,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3.31,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Evans Method, looking at the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F shift of trifluorotoluene: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6359" w:dyaOrig="4956">
          <v:rect xmlns:o="urn:schemas-microsoft-com:office:office" xmlns:v="urn:schemas-microsoft-com:vml" id="rectole0000000006" style="width:317.950000pt;height:247.8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color w:val="auto"/>
          <w:spacing w:val="0"/>
          <w:position w:val="0"/>
          <w:sz w:val="24"/>
          <w:shd w:fill="auto" w:val="clear"/>
        </w:rPr>
        <w:t xml:space="preserve">Observed &amp;#181;</w:t>
      </w:r>
      <w:r>
        <w:rPr>
          <w:rFonts w:ascii="Times New Roman" w:hAnsi="Times New Roman" w:cs="Times New Roman" w:eastAsia="Times New Roman"/>
          <w:color w:val="auto"/>
          <w:spacing w:val="0"/>
          <w:position w:val="0"/>
          <w:sz w:val="24"/>
          <w:shd w:fill="auto" w:val="clear"/>
          <w:vertAlign w:val="subscript"/>
        </w:rPr>
        <w:t xml:space="preserve">eff</w:t>
      </w:r>
      <w:r>
        <w:rPr>
          <w:rFonts w:ascii="Times New Roman" w:hAnsi="Times New Roman" w:cs="Times New Roman" w:eastAsia="Times New Roman"/>
          <w:color w:val="auto"/>
          <w:spacing w:val="0"/>
          <w:position w:val="0"/>
          <w:sz w:val="24"/>
          <w:shd w:fill="auto" w:val="clear"/>
        </w:rPr>
        <w:t xml:space="preserve"> = 3.31 &amp;#181;</w:t>
      </w:r>
      <w:r>
        <w:rPr>
          <w:rFonts w:ascii="Times New Roman" w:hAnsi="Times New Roman" w:cs="Times New Roman" w:eastAsia="Times New Roman"/>
          <w:color w:val="auto"/>
          <w:spacing w:val="0"/>
          <w:position w:val="0"/>
          <w:sz w:val="24"/>
          <w:shd w:fill="auto" w:val="clear"/>
          <w:vertAlign w:val="subscript"/>
        </w:rPr>
        <w:t xml:space="preserve">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 of the sample: 9.9 mg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 of solution (chloroform-</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 trifluorotoluene): 0.9019 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Temperature of probe: 295.1 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NMR Field (MHz): 470.06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Reported &amp;#181;</w:t>
      </w:r>
      <w:r>
        <w:rPr>
          <w:rFonts w:ascii="Times New Roman" w:hAnsi="Times New Roman" w:cs="Times New Roman" w:eastAsia="Times New Roman"/>
          <w:color w:val="auto"/>
          <w:spacing w:val="0"/>
          <w:position w:val="0"/>
          <w:sz w:val="24"/>
          <w:shd w:fill="auto" w:val="clear"/>
          <w:vertAlign w:val="subscript"/>
        </w:rPr>
        <w:t xml:space="preserve">eff</w:t>
      </w:r>
      <w:r>
        <w:rPr>
          <w:rFonts w:ascii="Times New Roman" w:hAnsi="Times New Roman" w:cs="Times New Roman" w:eastAsia="Times New Roman"/>
          <w:color w:val="auto"/>
          <w:spacing w:val="0"/>
          <w:position w:val="0"/>
          <w:sz w:val="24"/>
          <w:shd w:fill="auto" w:val="clear"/>
        </w:rPr>
        <w:t xml:space="preserve"> = 3.39 &amp;#181;</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 1 (predicted based on tetrahedral geometry,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theoretical &amp;#181;</w:t>
      </w:r>
      <w:r>
        <w:rPr>
          <w:rFonts w:ascii="Times New Roman" w:hAnsi="Times New Roman" w:cs="Times New Roman" w:eastAsia="Times New Roman"/>
          <w:color w:val="auto"/>
          <w:spacing w:val="0"/>
          <w:position w:val="0"/>
          <w:sz w:val="24"/>
          <w:shd w:fill="auto" w:val="clear"/>
          <w:vertAlign w:val="subscript"/>
        </w:rPr>
        <w:t xml:space="preserve">eff</w:t>
      </w:r>
      <w:r>
        <w:rPr>
          <w:rFonts w:ascii="Times New Roman" w:hAnsi="Times New Roman" w:cs="Times New Roman" w:eastAsia="Times New Roman"/>
          <w:color w:val="auto"/>
          <w:spacing w:val="0"/>
          <w:position w:val="0"/>
          <w:sz w:val="24"/>
          <w:shd w:fill="auto" w:val="clear"/>
        </w:rPr>
        <w:t xml:space="preserve"> = 2.83 &amp;#181;</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w:t>
      </w:r>
      <w:r>
        <w:rPr>
          <w:rFonts w:ascii="Times New Roman" w:hAnsi="Times New Roman" w:cs="Times New Roman" w:eastAsia="Times New Roman"/>
          <w:i/>
          <w:color w:val="auto"/>
          <w:spacing w:val="0"/>
          <w:position w:val="0"/>
          <w:sz w:val="24"/>
          <w:shd w:fill="auto" w:val="clear"/>
        </w:rPr>
        <w:t xml:space="preserve">S </w:t>
      </w:r>
      <w:r>
        <w:rPr>
          <w:rFonts w:ascii="Times New Roman" w:hAnsi="Times New Roman" w:cs="Times New Roman" w:eastAsia="Times New Roman"/>
          <w:color w:val="auto"/>
          <w:spacing w:val="0"/>
          <w:position w:val="0"/>
          <w:sz w:val="24"/>
          <w:shd w:fill="auto" w:val="clear"/>
        </w:rPr>
        <w:t xml:space="preserve">= 3/2, theoretical &amp;#181;</w:t>
      </w:r>
      <w:r>
        <w:rPr>
          <w:rFonts w:ascii="Times New Roman" w:hAnsi="Times New Roman" w:cs="Times New Roman" w:eastAsia="Times New Roman"/>
          <w:color w:val="auto"/>
          <w:spacing w:val="0"/>
          <w:position w:val="0"/>
          <w:sz w:val="24"/>
          <w:shd w:fill="auto" w:val="clear"/>
          <w:vertAlign w:val="subscript"/>
        </w:rPr>
        <w:t xml:space="preserve">eff</w:t>
      </w:r>
      <w:r>
        <w:rPr>
          <w:rFonts w:ascii="Times New Roman" w:hAnsi="Times New Roman" w:cs="Times New Roman" w:eastAsia="Times New Roman"/>
          <w:color w:val="auto"/>
          <w:spacing w:val="0"/>
          <w:position w:val="0"/>
          <w:sz w:val="24"/>
          <w:shd w:fill="auto" w:val="clear"/>
        </w:rPr>
        <w:t xml:space="preserve"> = 3.46 &amp;#181;</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data, the Pd(dppf)Cl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diamagnetic and therefore exhibits square planar geometry.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of Ni(dppf)Cl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paramagnetic and therefore is tetrahedral at the Ni center. The Evans method confirmed that Ni(dppf)Cl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paramagnetic, exhibiting a solution magnetic moment of 3.31 &amp;#181;</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which is close to the literature reported value for this compound. Since Ni is small, the sterics outweighs any electronic stabilization associated with square planar geometry, making Ni(dppf)Cl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tetrahedral. On the other hand, Pd is large and, therefore, has higher energy &amp;#963;*</w:t>
      </w:r>
      <w:r>
        <w:rPr>
          <w:rFonts w:ascii="Times New Roman" w:hAnsi="Times New Roman" w:cs="Times New Roman" w:eastAsia="Times New Roman"/>
          <w:i/>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-orbitals. In this case, the electronic stabilization greatly outweighs the steric repulsions, resulting in a square planar geometry at Pd in Pd(dppf)Cl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demonstrated how MO theory can be used as a model of bonding in transition metal complexes. We synthesized two complexes with the general formula M(dppf)Cl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When M = Ni, the 4-coordinate complex exhibits a tetrahedral geometry. Replacing the Ni atom with a larger transition metal (Pd), the molecule takes on square planar geometry.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we learned about the important role ferrocene plays in the field of organometallic chemistry. Substituted ferrocenes, including dppf, are used as chelating ligands for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and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row transition metals. The resulting complexes are used in homogeneous catalysis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[1,1'-bis(diphenylphosphino)ferrocene]palladium(II) dichloride, Pd(dppf)Cl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a catalyst for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heteroatom bond-forming reactions).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Understanding the bonding in transition metal complexes is important for explaining their structure and reactivity. One of the strengths of MO theory is that it provides a good model that can be used to explain the reactivity of transition metal complexes. In many cases, the metal center is the location of any reactivity exhibited by the molecule. Therefore, it is valuable to have a picture of the electron density at the metal center, which is summarized in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derived from MO theory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Notice that not only do the MOs in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exhibit mostly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character (the &amp;#963;*</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orbitals are closest in energy to the atomic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-orbitals of the metal and therefore most of the electron density in those MOs is centered on the metal atom), but also the splitting diagram contains the HOMO and LUMO of the molecule. Therefore, any chemistry that occurs will directly affect the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-orbital splitting diagram of the molecule.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6.wmf" Id="docRId13" Type="http://schemas.openxmlformats.org/officeDocument/2006/relationships/image"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numbering.xml" Id="docRId14"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styles.xml" Id="docRId15"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s>
</file>