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Title: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Keywords: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Authors: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Corresponding Author: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Short Abstract: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Long Abstract: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Source: David Powers and Tamara Powers, Department of Chemistry Texas A&amp;amp;M University, College Station, TX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Paddlewheel complexes are a class of compounds comprised of two metal ions (1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nd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or 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rd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row transition metals) held in proximity by four bridging ligands (most commonly formamidinates or carboxylates)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 Varying the identity of the metal ion and the bridging ligand provides access to large families of paddlewheel complexes. The structure of paddlewheel complexes allows for metal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metal bonding, which plays a vital role in the structure and reactivity of these complexes. Due to the diversity of electronic structures that are available to paddlewheel complexes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and the corresponding differences in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bonding displayed by these structures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paddlewheel complexes have found application in diverse areas, such as in homogeneous catalysis and as building blocks for metal-organic frameworks (MOFs). Understanding the electronic structure of the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bonds in paddlewheel complexes is critical to understanding their structures and thus to application of these complexes in coordination chemistry and catalysis.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8044" w:dyaOrig="5760">
          <v:rect xmlns:o="urn:schemas-microsoft-com:office:office" xmlns:v="urn:schemas-microsoft-com:vml" id="rectole0000000000" style="width:402.200000pt;height:288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1.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General structure of paddlewheel complexes, where M can be a 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st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nd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or 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rd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row transition metal.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When two transition metals are held in close proximity the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-orbitals overlap, which can result in the formation of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bonds. Overlapping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orbitals can form three types of bonds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&amp;#963;,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π, and 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depending on the symmetry of the orbitals involved. If we assign the molecular z-axis to be coplanar with the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bond, a &amp;#963; bond is formed by overlap of the  orbitals and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π bonds are formed by overlap of the  and  orbitals. δ bonds are generated by overlap of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-orbitals that have two planar nodes ( and ). As a result, all four lobes of the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-orbital overlap and the corresponding δ bond has two planar nodes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 In theory, with the addition of δ bonds, paddlewheel complexes are capable of supporting quintuple bonds, or five bonds between metal atoms. In most complexes, the  forms strong metal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ligand bonds and does not meaningfully contribute to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bonding. Thus, quadruple bonds are the maximum bond order in many complexes.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3551" w:dyaOrig="4742">
          <v:rect xmlns:o="urn:schemas-microsoft-com:office:office" xmlns:v="urn:schemas-microsoft-com:vml" id="rectole0000000001" style="width:177.550000pt;height:237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2.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Visual representation of &amp;#963;,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π, and δ bonding MOs resulting from the linear combination of metal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-orbitals. The  atomic orbitals have the best spatial overlap, followed by the  and  orbitals. The  atomic orbitals have the least amount of spatial overlap.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 this video, we will synthesize the dimolybdenum paddlewheel complex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where Ar =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-(MeO)C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which features a quadruple bond. We will characterize the compound by NMR spectroscopy and use X-ray crystallography to study the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Introduction: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We begin by constructing an MO diagram of the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 within the general dimolybdenum complex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First, we need to define our axes. Assuming the highest available symmetry,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is in the point group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  <w:vertAlign w:val="subscript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 z-axis is by definition assigned to the axis with highest rotational symmetry (primary axis), which in this case is a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rotation axis that lies along the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 bond. By convention, the x- and y-axis lie along the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 bonds; in our specific case, this means that the x- and y-axes are collinear with the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 vectors. According to our axis assignments, the  orbital on each Mo atom is involved in metal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ligand bonding. That leaves the , , , and  orbitals for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bonding.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 MO diagram that describes the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 in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is shown in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Linear combination of the  orbital on each M atom results in &amp;#963; and &amp;#963;* MOs. The  and  orbitals form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π and π* MOs. Finally, linear combination of the  atomic orbitals gives rise to the δ and δ* MOs. The δ bond exhibits the least amount of spatial overlap between the atomic orbitals and, as a result, the relative energy of the bonding orbitals is &amp;#963; &amp;lt; π &amp;lt; δ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 This corresponds to bond strengths, where a &amp;#963; bond is stronger than a π bond, which is stronger than a δ bond. We fill the corresponding MOs with the total number of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for both Mo center, which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is 8 (Mo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2+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 This leads to a bond order of 4, which is consistent with a quadruple bond.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 this video, we will use X-ray crystallography to observe the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 bond length in the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complex. With the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 bond distance from solid state structure, we can find the formal shortness ratio (FSR), which is the normalized value of the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bond. The FSR is calculated for a bond 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 using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Equation 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which is simply the ratio of the bond distance observed in the solid state () to the sum of the atomic radii ( and ) of the individual atoms.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ab/>
        <w:tab/>
        <w:tab/>
        <w:tab/>
        <w:tab/>
        <w:tab/>
        <w:tab/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 FSR value is normalized for atomic radius and thus provides a fast and convenient way to compare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 distances, not only between different metal types, but also to bond distances between non-metal atoms.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932" w:dyaOrig="5033">
          <v:rect xmlns:o="urn:schemas-microsoft-com:office:office" xmlns:v="urn:schemas-microsoft-com:vml" id="rectole0000000002" style="width:296.600000pt;height:251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3.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Defined axes for the molecule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assuming highest symmetry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  <w:vertAlign w:val="subscript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545" w:dyaOrig="5990">
          <v:rect xmlns:o="urn:schemas-microsoft-com:office:office" xmlns:v="urn:schemas-microsoft-com:vml" id="rectole0000000003" style="width:377.250000pt;height:299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4.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MO diagram of the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bonding in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Protocol:</w:t>
      </w: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</w:t>
        <w:tab/>
        <w:t xml:space="preserve">Synthesis of Ligand ArN(H)C(H)NAr, Where Ar =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-(MeO)C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  <w:vertAlign w:val="subscript"/>
        </w:rPr>
        <w:t xml:space="preserve">6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(Figure 5)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1.1.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Combine 6.0 g (0.050 mol) of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anisidine and 4.2 mL (0.025 mol) of triethylorthoformate in a 100 mL round bottom flask with a magnetic stir bar. 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1.2.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Attach a distillation head to the reaction flask.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1.3.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With stirring, heat the reaction in an oil bath to reflux (120 &amp;#176;C). Once reflux is achieved, the byproduct ethanol should begin to distill from the reaction. Collect the ethanol in a beaker placed at the end of the distillation head.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1.4.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Heat the reaction until the distillation of ethanol ceases (at least 1.5 h).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1.5.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Remove the flask from the oil bath and allow the reaction mixture to cool to room temperature. A precipitate should form. If the product does not precipitate, place the flask in an ice bath and scratch the bottom of the flask with a spatula to encourage crystallization.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1.6.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Recrystallize the product from a minimal amount of boiling toluene (for a more detailed procedure, please review the “Purifying Compounds by Recrystallization” video in the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Essentials of Organic Chemistry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series).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1.7.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Collect the product by filtration through a fritted funnel and wash with 10 mL of hexanes. 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1.8.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Isolate the white product and allow it to dry in the air.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1.9.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Collect a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 NMR of the solid using CDCl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294" w:dyaOrig="1518">
          <v:rect xmlns:o="urn:schemas-microsoft-com:office:office" xmlns:v="urn:schemas-microsoft-com:vml" id="rectole0000000004" style="width:414.700000pt;height:75.9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Synthesis of ArN(H)C(H)NAr, where Ar =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-MeOC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</w:t>
        <w:tab/>
        <w:t xml:space="preserve">Setup of the Schlenk Line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Note: For a more detailed procedure, please review the “Schlenk Lines Transfer of Solvent” video in the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Essentials of Organic Chemistry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series. Schlenk line safety should be reviewed prior to conducting this experiment. Glassware should be inspected for star cracks before use. Care should be taken to ensure that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is not condensed in the Schlenk line trap if using liquid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At liquid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temperature,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condenses and is explosive in the presence of organic solvents. If it is suspected that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has been condensed or a blue liquid is observed in the cold trap, leave the trap cold under dynamic vacuum. Do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NOT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remove the liquid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trap or turn off the vacuum pump. Over time the liquid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will sublime into the pump; it is only safe to remove the liquid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trap once all of the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has sublimed.</w:t>
      </w:r>
    </w:p>
    <w:p>
      <w:pPr>
        <w:spacing w:before="0" w:after="0" w:line="240"/>
        <w:ind w:right="0" w:left="144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2.1.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Close the pressure release valve.</w:t>
      </w:r>
    </w:p>
    <w:p>
      <w:pPr>
        <w:spacing w:before="0" w:after="0" w:line="240"/>
        <w:ind w:right="0" w:left="144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2.2.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Turn on the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gas and the vacuum pump.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2.3.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 the Schlenk line vacuum reaches its minimum pressure, prepare the cold trap with either liquid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or dry ice/acetone.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2.4.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Assemble the cold trap.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</w:t>
        <w:tab/>
        <w:t xml:space="preserve">Synthesis of Mo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(Figure 6)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  <w:vertAlign w:val="superscript"/>
        </w:rPr>
        <w:t xml:space="preserve">1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</w:pP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CAUTION: The molybdenum source used in the synthesis of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is Mo(CO)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which is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highly toxic and may be fatal if inhaled, absorbed through the skin, or swallowed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CO is generated during the reaction. Therefore, the synthesis must be conducted in a well-ventilated hood.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3.1.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Use standard Schlenk line techniques for the synthesis of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(see the “Synthesis of a Ti(III) Metallocene Using Schlenk line Technique” video).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3.2.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Add 0.34 g (1.3 mmol) Mo(CO)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and 1.0 g (3.9 mmol) of ArN(H)C(H)NAr to a 100 mL Schlenk flask and prepare the Schlenk flask for the cannula transfer of solvent.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3.3.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Add 20 mL of degassed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-dichlorobenzene to the Schlenk flask via cannula transfer.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3.4.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Fit the Schlenk flask with a condenser connected to the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gas line.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3.5.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Reflux the reaction for 2 h (180 &amp;#176;C) in a silicone-oil bath.</w:t>
      </w:r>
    </w:p>
    <w:p>
      <w:pPr>
        <w:spacing w:before="0" w:after="20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Note: Mo(CO)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is volatile and will condense on the sides of the Schlenk flask during the reaction. To obtain higher yields, periodically re-dissolve any sublimed Mo(CO)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by pulling the flask out of the oil bath and gently swirling the solvent in the flask.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3.6.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Remove the Schlenk flask from the oil bath and allow the mixture to cool to room temperature.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3.7.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Filter the brown solution through a fritted funnel and wash the yellow precipitate with 10 mL of hexanes, followed by 5 mL of reagent grade acetone. The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does decompose slowly in solution when 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is present. Therefore, the filtration should be done promptly once the reaction is removed from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3.8.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Collect the solid yellow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and allow it to air dry.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3.9.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Using CDCl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measure the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 NMR spectrum of the product.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294" w:dyaOrig="1266">
          <v:rect xmlns:o="urn:schemas-microsoft-com:office:office" xmlns:v="urn:schemas-microsoft-com:vml" id="rectole0000000005" style="width:414.700000pt;height:63.3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6.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Synthesis of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where Ar =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-MeOC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</w:t>
        <w:tab/>
        <w:t xml:space="preserve">Single Crystal Growth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Note: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oxidizes slowly in solution. The crystallization solvent should be degassed before use, but rigorous air-free conditions are not necessary to obtain X-ray quality crystals for single crystal X-ray diffraction. 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4.1.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Degas 10 mL of dichloromethane (CH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 by bubbling N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gas through the solution for 10 min (see the “Synthesis of a Ti(III) Metallocene Using Schlenk line Technique” video for a more detailed procedure on purging liquids).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4.2.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Make a saturated solution of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by dissolving 20 mg of the solid in 2 mL of the degassed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4.3.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Make a pipette Celite plug by inserting a small piece of Kimwipe into a pipette. Add a small amount of Celite to the pipette.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4.4.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Filter the CH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Cl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solution through the pipette Celite plug into a small 5 mL vial. Help to push the solution through the Celite using a pipette bulb.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4.5.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Using tweezers, insert the 5 mL vial into a 10 mL scintillation vial. 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4.6.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 the outer scintillation vial, add 2 mL of hexanes.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4.7.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Tightly cap the scintillation vial and place it on a shelf where it will be undisturbed. 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4.8.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Allow at least 24 h for single crystal growth (see the “X-ray Crystallography” video in the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Essentials of Organic Chemistry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series for a more detailed procedure on how to grow single crystals).</w:t>
      </w:r>
    </w:p>
    <w:p>
      <w:pPr>
        <w:spacing w:before="0" w:after="0" w:line="240"/>
        <w:ind w:right="0" w:left="792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92" w:hanging="43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4.9.</w:t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Collect single crystal X-ray data on the sample (see the “Single Crystal and Powder X-ray Diffraction” video for a more detailed procedure on how to collect X-ray data).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Representative Results: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Ligand ArN(H)C(H)NAr: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Yield: 3.25 g (53%).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 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 NMR (chloroform-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300 MHz,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δ, ppm): 8.06 (s, 1H, NHC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N), 6.99 (d, 4H, aromatic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J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= 8.7 Hz), 6.86 (d, 4H, aromatic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J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= 9.0 Hz) 3.80 (s, 6H,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OC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 complex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Yield: 450 mg (57%).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 NMR (chloroform-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300 MHz,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δ, ppm): 8.38 (s, 4H, NHC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N), 6.51 (d, 16H, aromatic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J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= 8.8 Hz), 6.16 (d, 16H, aromatic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J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= 8.8 Hz), 3.71 (s, 24H,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OC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Table 1. Crystal Data and Unit Cell Parameters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2233"/>
        <w:gridCol w:w="1938"/>
      </w:tblGrid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Empirical formula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  <w:vertAlign w:val="subscript"/>
              </w:rPr>
              <w:t xml:space="preserve">60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H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  <w:vertAlign w:val="subscript"/>
              </w:rPr>
              <w:t xml:space="preserve">70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  <w:vertAlign w:val="subscript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  <w:vertAlign w:val="subscript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  <w:vertAlign w:val="subscript"/>
              </w:rPr>
              <w:t xml:space="preserve">8</w:t>
            </w:r>
          </w:p>
        </w:tc>
      </w:tr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Formula weight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1223.12</w:t>
            </w:r>
          </w:p>
        </w:tc>
      </w:tr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Temperature (K)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296.15</w:t>
            </w:r>
          </w:p>
        </w:tc>
      </w:tr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Crystal system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triclinic</w:t>
            </w:r>
          </w:p>
        </w:tc>
      </w:tr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Space group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i/>
                <w:color w:val="auto"/>
                <w:spacing w:val="0"/>
                <w:position w:val="0"/>
                <w:sz w:val="24"/>
                <w:shd w:fill="auto" w:val="clear"/>
              </w:rPr>
              <w:t xml:space="preserve">P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-1</w:t>
            </w:r>
          </w:p>
        </w:tc>
      </w:tr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 (Å)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10.1446(4)</w:t>
            </w:r>
          </w:p>
        </w:tc>
      </w:tr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 (Å)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10.3351(4)</w:t>
            </w:r>
          </w:p>
        </w:tc>
      </w:tr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c (Å)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13.9623(6)</w:t>
            </w:r>
          </w:p>
        </w:tc>
      </w:tr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&amp;#945; (&amp;#176;)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80.151(2)</w:t>
            </w:r>
          </w:p>
        </w:tc>
      </w:tr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&amp;#946; (&amp;#176;)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75.251(2)</w:t>
            </w:r>
          </w:p>
        </w:tc>
      </w:tr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&amp;#947; (&amp;#176;)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82.226(2)</w:t>
            </w:r>
          </w:p>
        </w:tc>
      </w:tr>
      <w:tr>
        <w:trPr>
          <w:trHeight w:val="1" w:hRule="atLeast"/>
          <w:jc w:val="center"/>
        </w:trPr>
        <w:tc>
          <w:tcPr>
            <w:tcW w:w="22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Volume (Å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  <w:vertAlign w:val="superscript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)</w:t>
            </w:r>
          </w:p>
        </w:tc>
        <w:tc>
          <w:tcPr>
            <w:tcW w:w="1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1388.3(1)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perscript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 NMR spectrum of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  <w:vertAlign w:val="subscript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exhibits two signals in the aromatic region, which is consistent with 4-fold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  <w:vertAlign w:val="subscript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symmetry. The solid-state structure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 is consistent with the point group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and features a short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 bond (2.0925(3) Å). The atomic radii of Mo are 1.45 Å. Therefore, using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Equation 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the FSR value for the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 in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  <w:vertAlign w:val="subscript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is 0.72. This value is lower than that observed for the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 quadruply bonded complex Mo(hpp)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(hpp = 1,3,4,6,7,8-hexahydro-2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-pyrimido[1,2-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]pyrimidinate), which has an FSR value of 0.797, and is consistent with the presence of a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quadruple bond.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294" w:dyaOrig="5763">
          <v:rect xmlns:o="urn:schemas-microsoft-com:office:office" xmlns:v="urn:schemas-microsoft-com:vml" id="rectole0000000006" style="width:414.700000pt;height:288.1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7.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Solid-state structure for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(ArNC(H)NAr)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with the thermal ellipsoids set at the 50% probability level. Hydrogen atoms are omitted for clarity (Mo navy, N blue, C gray).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Discussion: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 this video, we learned about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bonding. We synthesized a dinuclear molybdenum complex featuring a quadruple bond. Quadruple bonds consist of three different bond types, including &amp;#963;,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π, and δ bonds. We collected single crystal X-ray diffraction data and observed a short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Mo bond length consistent with a quadruply bonded compound.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Paddlewheel complexes, such as the Mo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complex prepared here, display a wide range of properties and thus find application in diverse areas of chemistry. For example,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bonds play an important role in catalysis: the dirhodium paddlewheel complex Rh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(OAc)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is a known catalyst for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 bond functionalization via carbene and nitrene transfer reactions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8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 In a typical carbene transfer reaction, Rh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(OAc)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reacts with a diazo compound to generate a Rh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carbene intermediate. Subsequent insertion of the carbene into a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 bond generates the product of 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 functionalization and regenerates the Rh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(OAc)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catalyst. The exceptional reactivity of Rh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  <w:vertAlign w:val="subscript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catalysts in these reactions has been ascribed to Rh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Rh interaction via the 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 bond. The Rh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Rh bond in the resulting intermediate acts as an electron reservoir; while one metal serves as a binding site for substrate, the second metal center shuttles electron density to and from the active metal center during substrate activation. The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-orbital splitting diagram of the intermediate complex (Rh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Rh core bound to the carbenoid) shows that the frontier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-orbitals are non-bonding with respect to the active Rh center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9a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 The electron density in both the &amp;#963; and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π non-bonding MOs is centered on the nucleophilic carbenoid carbon and the “spectator” Rh center, which is not directly bound to the carbenoid unit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9b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027" w:dyaOrig="3423">
          <v:rect xmlns:o="urn:schemas-microsoft-com:office:office" xmlns:v="urn:schemas-microsoft-com:vml" id="rectole0000000007" style="width:401.350000pt;height:171.1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 bond functionalization via a metal-carbenoid intermediate.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object w:dxaOrig="8294" w:dyaOrig="4637">
          <v:rect xmlns:o="urn:schemas-microsoft-com:office:office" xmlns:v="urn:schemas-microsoft-com:vml" id="rectole0000000008" style="width:414.700000pt;height:231.8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Figure 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d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-orbital MO splitting diagram of the Rh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Rh core in paddlewheel complexes bound to a carbenoid substrate. Note that only orbitals involved in substrate binding are shown.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b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) The resulting &amp;#963; and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π non-bonding MOs are filled with electrons. The electron density in those MOs is centered on the carbenoid carbon and the “spectator” Rh center.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Paddlewheel complexes have also been utilized as building blocks in MOFs. MOFs are porous coordination polymers that consist of metal complexes linked together by organic ligands. The resulting one-, two-, or three-dimensional superstructures can be used in a variety of applications ranging from gas absorption (including separation and purification) to catalysis.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Disclosures: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Acknowledgements: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References: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