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Liquid-Liquid Extraction: </w:t>
      </w:r>
      <w:r>
        <w:rPr>
          <w:rFonts w:ascii="Times New Roman" w:hAnsi="Times New Roman" w:cs="Times New Roman" w:eastAsia="Times New Roman"/>
          <w:b/>
          <w:color w:val="auto"/>
          <w:spacing w:val="0"/>
          <w:position w:val="0"/>
          <w:sz w:val="22"/>
          <w:shd w:fill="auto" w:val="clear"/>
        </w:rPr>
        <w:t xml:space="preserve">Equilibrium vs. Rate-Based Analysis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Kerry M. Dooley, Department of Chemical Engineering, Louisiana State University, Baton Rouge, LA</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Liquid-liquid extraction (LLE) is a separation technique used inste</w:t>
      </w:r>
      <w:r>
        <w:rPr>
          <w:rFonts w:ascii="Times New Roman" w:hAnsi="Times New Roman" w:cs="Times New Roman" w:eastAsia="Times New Roman"/>
          <w:color w:val="auto"/>
          <w:spacing w:val="0"/>
          <w:position w:val="0"/>
          <w:sz w:val="24"/>
          <w:shd w:fill="auto" w:val="clear"/>
        </w:rPr>
        <w:t xml:space="preserve">ad of distillation when either:</w:t>
      </w:r>
      <w:r>
        <w:rPr>
          <w:rFonts w:ascii="Times New Roman" w:hAnsi="Times New Roman" w:cs="Times New Roman" w:eastAsia="Times New Roman"/>
          <w:color w:val="auto"/>
          <w:spacing w:val="0"/>
          <w:position w:val="0"/>
          <w:sz w:val="22"/>
          <w:shd w:fill="auto" w:val="clear"/>
        </w:rPr>
        <w:t xml:space="preserve"> (a) the relative volatilities of the compounds to be separated are very similar; (b) one or more of the mixture components are temperature sensitive even near ambient conditions; (c) the distillation would require a very low pressure or a very high distillate/feed ratio.</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The driving force for mass transfer is the difference in solubility of one material (the </w:t>
      </w:r>
      <w:r>
        <w:rPr>
          <w:rFonts w:ascii="Times New Roman" w:hAnsi="Times New Roman" w:cs="Times New Roman" w:eastAsia="Times New Roman"/>
          <w:b/>
          <w:color w:val="auto"/>
          <w:spacing w:val="0"/>
          <w:position w:val="0"/>
          <w:sz w:val="22"/>
          <w:shd w:fill="auto" w:val="clear"/>
        </w:rPr>
        <w:t xml:space="preserve">solute</w:t>
      </w:r>
      <w:r>
        <w:rPr>
          <w:rFonts w:ascii="Times New Roman" w:hAnsi="Times New Roman" w:cs="Times New Roman" w:eastAsia="Times New Roman"/>
          <w:color w:val="auto"/>
          <w:spacing w:val="0"/>
          <w:position w:val="0"/>
          <w:sz w:val="22"/>
          <w:shd w:fill="auto" w:val="clear"/>
        </w:rPr>
        <w:t xml:space="preserve">) in two other immiscible or partially miscible streams (the </w:t>
      </w:r>
      <w:r>
        <w:rPr>
          <w:rFonts w:ascii="Times New Roman" w:hAnsi="Times New Roman" w:cs="Times New Roman" w:eastAsia="Times New Roman"/>
          <w:b/>
          <w:color w:val="auto"/>
          <w:spacing w:val="0"/>
          <w:position w:val="0"/>
          <w:sz w:val="22"/>
          <w:shd w:fill="auto" w:val="clear"/>
        </w:rPr>
        <w:t xml:space="preserve">feed</w:t>
      </w:r>
      <w:r>
        <w:rPr>
          <w:rFonts w:ascii="Times New Roman" w:hAnsi="Times New Roman" w:cs="Times New Roman" w:eastAsia="Times New Roman"/>
          <w:color w:val="auto"/>
          <w:spacing w:val="0"/>
          <w:position w:val="0"/>
          <w:sz w:val="22"/>
          <w:shd w:fill="auto" w:val="clear"/>
        </w:rPr>
        <w:t xml:space="preserve"> and the </w:t>
      </w:r>
      <w:r>
        <w:rPr>
          <w:rFonts w:ascii="Times New Roman" w:hAnsi="Times New Roman" w:cs="Times New Roman" w:eastAsia="Times New Roman"/>
          <w:b/>
          <w:color w:val="auto"/>
          <w:spacing w:val="0"/>
          <w:position w:val="0"/>
          <w:sz w:val="22"/>
          <w:shd w:fill="auto" w:val="clear"/>
        </w:rPr>
        <w:t xml:space="preserve">solvent</w:t>
      </w:r>
      <w:r>
        <w:rPr>
          <w:rFonts w:ascii="Times New Roman" w:hAnsi="Times New Roman" w:cs="Times New Roman" w:eastAsia="Times New Roman"/>
          <w:color w:val="auto"/>
          <w:spacing w:val="0"/>
          <w:position w:val="0"/>
          <w:sz w:val="22"/>
          <w:shd w:fill="auto" w:val="clear"/>
        </w:rPr>
        <w:t xml:space="preserve">). The feed and solvent streams are mixed and then separated, allowing the solute to transfer from the feed to the solvent. Normally, this process is repeated in successive stages using counter-current flow. The solute-rich solvent is called the </w:t>
      </w:r>
      <w:r>
        <w:rPr>
          <w:rFonts w:ascii="Times New Roman" w:hAnsi="Times New Roman" w:cs="Times New Roman" w:eastAsia="Times New Roman"/>
          <w:b/>
          <w:color w:val="auto"/>
          <w:spacing w:val="0"/>
          <w:position w:val="0"/>
          <w:sz w:val="22"/>
          <w:shd w:fill="auto" w:val="clear"/>
        </w:rPr>
        <w:t xml:space="preserve">extract</w:t>
      </w:r>
      <w:r>
        <w:rPr>
          <w:rFonts w:ascii="Times New Roman" w:hAnsi="Times New Roman" w:cs="Times New Roman" w:eastAsia="Times New Roman"/>
          <w:color w:val="auto"/>
          <w:spacing w:val="0"/>
          <w:position w:val="0"/>
          <w:sz w:val="22"/>
          <w:shd w:fill="auto" w:val="clear"/>
        </w:rPr>
        <w:t xml:space="preserve"> as it leaves, and the solute-depleted feed is the </w:t>
      </w:r>
      <w:r>
        <w:rPr>
          <w:rFonts w:ascii="Times New Roman" w:hAnsi="Times New Roman" w:cs="Times New Roman" w:eastAsia="Times New Roman"/>
          <w:b/>
          <w:color w:val="auto"/>
          <w:spacing w:val="0"/>
          <w:position w:val="0"/>
          <w:sz w:val="22"/>
          <w:shd w:fill="auto" w:val="clear"/>
        </w:rPr>
        <w:t xml:space="preserve">raffinate</w:t>
      </w:r>
      <w:r>
        <w:rPr>
          <w:rFonts w:ascii="Times New Roman" w:hAnsi="Times New Roman" w:cs="Times New Roman" w:eastAsia="Times New Roman"/>
          <w:color w:val="auto"/>
          <w:spacing w:val="0"/>
          <w:position w:val="0"/>
          <w:sz w:val="22"/>
          <w:shd w:fill="auto" w:val="clear"/>
        </w:rPr>
        <w:t xml:space="preserve">. When there is a reasonable density difference between the feed and solvent streams, extraction can be accomplished using a vertical column, although in other cases a series of mixing and settling tanks may be used.</w:t>
      </w:r>
    </w:p>
    <w:p>
      <w:pPr>
        <w:spacing w:before="0" w:after="120" w:line="240"/>
        <w:ind w:right="0" w:left="0" w:firstLine="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experiment, the operational goal is to extract isopropanol (IPA, ~10 - 15 wt. %, the solute) from a mixture of C</w:t>
      </w:r>
      <w:r>
        <w:rPr>
          <w:rFonts w:ascii="Calibri" w:hAnsi="Calibri" w:cs="Calibri" w:eastAsia="Calibri"/>
          <w:color w:val="auto"/>
          <w:spacing w:val="0"/>
          <w:position w:val="0"/>
          <w:sz w:val="22"/>
          <w:shd w:fill="auto" w:val="clear"/>
          <w:vertAlign w:val="subscript"/>
        </w:rPr>
        <w:t xml:space="preserve">8</w:t>
      </w:r>
      <w:r>
        <w:rPr>
          <w:rFonts w:ascii="Calibri" w:hAnsi="Calibri" w:cs="Calibri" w:eastAsia="Calibri"/>
          <w:color w:val="auto"/>
          <w:spacing w:val="0"/>
          <w:position w:val="0"/>
          <w:sz w:val="22"/>
          <w:shd w:fill="auto" w:val="clear"/>
        </w:rPr>
        <w:t xml:space="preserve">-to-C</w:t>
      </w:r>
      <w:r>
        <w:rPr>
          <w:rFonts w:ascii="Calibri" w:hAnsi="Calibri" w:cs="Calibri" w:eastAsia="Calibri"/>
          <w:color w:val="auto"/>
          <w:spacing w:val="0"/>
          <w:position w:val="0"/>
          <w:sz w:val="22"/>
          <w:shd w:fill="auto" w:val="clear"/>
          <w:vertAlign w:val="subscript"/>
        </w:rPr>
        <w:t xml:space="preserve">10</w:t>
      </w:r>
      <w:r>
        <w:rPr>
          <w:rFonts w:ascii="Calibri" w:hAnsi="Calibri" w:cs="Calibri" w:eastAsia="Calibri"/>
          <w:color w:val="auto"/>
          <w:spacing w:val="0"/>
          <w:position w:val="0"/>
          <w:sz w:val="22"/>
          <w:shd w:fill="auto" w:val="clear"/>
        </w:rPr>
        <w:t xml:space="preserve"> hydrocarbons using pure water as solvent. A York-Scheibel type (vertical mixers and coalescers, one each per physical stage) extraction column is available. Like most extractors, the overall efficiency (number theoretical stages/physical stages) of this column is quite low, especially in comparison to many distillation columns. The low efficiencies arise from both slow mass transfer (two liquid resistances instead of one as in distillation) and often also from maldistribution of the phases. The effect of agitator speed on both the solute recovery in the extract and the overall column efficiency will be evaluated. </w:t>
      </w:r>
    </w:p>
    <w:p>
      <w:pPr>
        <w:spacing w:before="12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 </w:t>
      </w:r>
      <w:r>
        <w:rPr>
          <w:rFonts w:ascii="Times New Roman" w:hAnsi="Times New Roman" w:cs="Times New Roman" w:eastAsia="Times New Roman"/>
          <w:b/>
          <w:color w:val="auto"/>
          <w:spacing w:val="0"/>
          <w:position w:val="0"/>
          <w:sz w:val="22"/>
          <w:shd w:fill="auto" w:val="clear"/>
          <w:vertAlign w:val="superscript"/>
        </w:rPr>
        <w:t xml:space="preserve">2</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object w:dxaOrig="8290" w:dyaOrig="1621">
          <v:rect xmlns:o="urn:schemas-microsoft-com:office:office" xmlns:v="urn:schemas-microsoft-com:vml" id="rectole0000000000" style="width:414.500000pt;height:81.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2"/>
          <w:shd w:fill="auto" w:val="clear"/>
        </w:rPr>
        <w:t xml:space="preserve">Either the a) McCabe-Thiele method, or b) a process simulator (e.g., ASPEN Plus, HYSYS, ChemSep) may be used to estimate the number of equ</w:t>
      </w:r>
      <w:r>
        <w:rPr>
          <w:rFonts w:ascii="Times New Roman" w:hAnsi="Times New Roman" w:cs="Times New Roman" w:eastAsia="Times New Roman"/>
          <w:color w:val="auto"/>
          <w:spacing w:val="0"/>
          <w:position w:val="0"/>
          <w:sz w:val="24"/>
          <w:shd w:fill="auto" w:val="clear"/>
        </w:rPr>
        <w:t xml:space="preserve">ilibrium (theoretical) stages. </w:t>
      </w:r>
      <w:r>
        <w:rPr>
          <w:rFonts w:ascii="Times New Roman" w:hAnsi="Times New Roman" w:cs="Times New Roman" w:eastAsia="Times New Roman"/>
          <w:color w:val="auto"/>
          <w:spacing w:val="0"/>
          <w:position w:val="0"/>
          <w:sz w:val="22"/>
          <w:shd w:fill="auto" w:val="clear"/>
        </w:rPr>
        <w:t xml:space="preserve">The McCabe-Thiele method is employed on a solvent-free basis, meaning both the solubilities of the solvent in the extract and of the diluent compound in the raffinate are neglected.  A stagewise representation of counter-current liquid-liquid extraction is shown in Figure 1, where F’ is the molar flow rate of the feed (approximately constant), S’ is the molar flow rate of extract (approximately constant), X</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is the mole fraction of solute in feed, Y</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is mole fraction of solute in the solvent, Y</w:t>
      </w:r>
      <w:r>
        <w:rPr>
          <w:rFonts w:ascii="Times New Roman" w:hAnsi="Times New Roman" w:cs="Times New Roman" w:eastAsia="Times New Roman"/>
          <w:color w:val="auto"/>
          <w:spacing w:val="0"/>
          <w:position w:val="0"/>
          <w:sz w:val="22"/>
          <w:shd w:fill="auto" w:val="clear"/>
          <w:vertAlign w:val="subscript"/>
        </w:rPr>
        <w:t xml:space="preserve">e</w:t>
      </w:r>
      <w:r>
        <w:rPr>
          <w:rFonts w:ascii="Times New Roman" w:hAnsi="Times New Roman" w:cs="Times New Roman" w:eastAsia="Times New Roman"/>
          <w:color w:val="auto"/>
          <w:spacing w:val="0"/>
          <w:position w:val="0"/>
          <w:sz w:val="22"/>
          <w:shd w:fill="auto" w:val="clear"/>
        </w:rPr>
        <w:t xml:space="preserve"> is mole fraction of solute in solvent in extract stream, and X</w:t>
      </w:r>
      <w:r>
        <w:rPr>
          <w:rFonts w:ascii="Times New Roman" w:hAnsi="Times New Roman" w:cs="Times New Roman" w:eastAsia="Times New Roman"/>
          <w:color w:val="auto"/>
          <w:spacing w:val="0"/>
          <w:position w:val="0"/>
          <w:sz w:val="22"/>
          <w:shd w:fill="auto" w:val="clear"/>
          <w:vertAlign w:val="subscript"/>
        </w:rPr>
        <w:t xml:space="preserve">r</w:t>
      </w:r>
      <w:r>
        <w:rPr>
          <w:rFonts w:ascii="Times New Roman" w:hAnsi="Times New Roman" w:cs="Times New Roman" w:eastAsia="Times New Roman"/>
          <w:color w:val="auto"/>
          <w:spacing w:val="0"/>
          <w:position w:val="0"/>
          <w:sz w:val="22"/>
          <w:shd w:fill="auto" w:val="clear"/>
        </w:rPr>
        <w:t xml:space="preserve"> is mole fraction of solute in diluent in the raffinate stream.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Stagewise representation of the extraction process.</w:t>
      </w:r>
    </w:p>
    <w:p>
      <w:pPr>
        <w:tabs>
          <w:tab w:val="left" w:pos="720" w:leader="none"/>
          <w:tab w:val="left" w:pos="1440" w:leader="none"/>
        </w:tabs>
        <w:spacing w:before="0" w:after="0" w:line="240"/>
        <w:ind w:right="0" w:left="490" w:hanging="490"/>
        <w:jc w:val="left"/>
        <w:rPr>
          <w:rFonts w:ascii="Times New Roman" w:hAnsi="Times New Roman" w:cs="Times New Roman" w:eastAsia="Times New Roman"/>
          <w:color w:val="auto"/>
          <w:spacing w:val="0"/>
          <w:position w:val="0"/>
          <w:sz w:val="22"/>
          <w:shd w:fill="auto" w:val="clear"/>
        </w:rPr>
      </w:pPr>
    </w:p>
    <w:p>
      <w:pPr>
        <w:spacing w:before="120" w:after="160" w:line="259"/>
        <w:ind w:right="0" w:left="0" w:firstLine="43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steady state, a material balance on the solute between the feed end of the column and any stage, n (dotted outline above) leads to the operating line:</w:t>
      </w:r>
    </w:p>
    <w:p>
      <w:pPr>
        <w:tabs>
          <w:tab w:val="right" w:pos="9360" w:leader="none"/>
        </w:tabs>
        <w:spacing w:before="120" w:after="0" w:line="240"/>
        <w:ind w:right="0" w:left="2880" w:firstLine="0"/>
        <w:jc w:val="left"/>
        <w:rPr>
          <w:rFonts w:ascii="Times New Roman" w:hAnsi="Times New Roman" w:cs="Times New Roman" w:eastAsia="Times New Roman"/>
          <w:color w:val="auto"/>
          <w:spacing w:val="0"/>
          <w:position w:val="0"/>
          <w:sz w:val="22"/>
          <w:shd w:fill="auto" w:val="clear"/>
        </w:rPr>
      </w:pPr>
      <w:r>
        <w:object w:dxaOrig="2643" w:dyaOrig="674">
          <v:rect xmlns:o="urn:schemas-microsoft-com:office:office" xmlns:v="urn:schemas-microsoft-com:vml" id="rectole0000000001" style="width:132.150000pt;height:33.7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auto"/>
          <w:spacing w:val="0"/>
          <w:position w:val="0"/>
          <w:sz w:val="22"/>
          <w:shd w:fill="auto" w:val="clear"/>
        </w:rPr>
        <w:tab/>
        <w:t xml:space="preserve">(1)</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particular, the equation is satisfied at both ends of the column, so the points (X</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Y</w:t>
      </w:r>
      <w:r>
        <w:rPr>
          <w:rFonts w:ascii="Times New Roman" w:hAnsi="Times New Roman" w:cs="Times New Roman" w:eastAsia="Times New Roman"/>
          <w:color w:val="auto"/>
          <w:spacing w:val="0"/>
          <w:position w:val="0"/>
          <w:sz w:val="22"/>
          <w:shd w:fill="auto" w:val="clear"/>
          <w:vertAlign w:val="subscript"/>
        </w:rPr>
        <w:t xml:space="preserve">e</w:t>
      </w:r>
      <w:r>
        <w:rPr>
          <w:rFonts w:ascii="Times New Roman" w:hAnsi="Times New Roman" w:cs="Times New Roman" w:eastAsia="Times New Roman"/>
          <w:color w:val="auto"/>
          <w:spacing w:val="0"/>
          <w:position w:val="0"/>
          <w:sz w:val="22"/>
          <w:shd w:fill="auto" w:val="clear"/>
        </w:rPr>
        <w:t xml:space="preserve">) and (X</w:t>
      </w:r>
      <w:r>
        <w:rPr>
          <w:rFonts w:ascii="Times New Roman" w:hAnsi="Times New Roman" w:cs="Times New Roman" w:eastAsia="Times New Roman"/>
          <w:color w:val="auto"/>
          <w:spacing w:val="0"/>
          <w:position w:val="0"/>
          <w:sz w:val="22"/>
          <w:shd w:fill="auto" w:val="clear"/>
          <w:vertAlign w:val="subscript"/>
        </w:rPr>
        <w:t xml:space="preserve">r</w:t>
      </w:r>
      <w:r>
        <w:rPr>
          <w:rFonts w:ascii="Times New Roman" w:hAnsi="Times New Roman" w:cs="Times New Roman" w:eastAsia="Times New Roman"/>
          <w:color w:val="auto"/>
          <w:spacing w:val="0"/>
          <w:position w:val="0"/>
          <w:sz w:val="22"/>
          <w:shd w:fill="auto" w:val="clear"/>
        </w:rPr>
        <w:t xml:space="preserve">, Y</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lie on the line.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The equilibrium data in the Appendix can be used in conjunction with this equation (either graphically or numerically) to step through the column.</w:t>
      </w:r>
    </w:p>
    <w:p>
      <w:pPr>
        <w:spacing w:before="0" w:after="120" w:line="240"/>
        <w:ind w:right="0" w:left="0" w:firstLine="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process simulators can do more rigorous stage-to-stage calculations, but still assuming </w:t>
      </w:r>
      <w:r>
        <w:rPr>
          <w:rFonts w:ascii="Calibri" w:hAnsi="Calibri" w:cs="Calibri" w:eastAsia="Calibri"/>
          <w:b/>
          <w:color w:val="auto"/>
          <w:spacing w:val="0"/>
          <w:position w:val="0"/>
          <w:sz w:val="22"/>
          <w:shd w:fill="auto" w:val="clear"/>
        </w:rPr>
        <w:t xml:space="preserve">equilibrium stages</w:t>
      </w:r>
      <w:r>
        <w:rPr>
          <w:rFonts w:ascii="Calibri" w:hAnsi="Calibri" w:cs="Calibri" w:eastAsia="Calibri"/>
          <w:color w:val="auto"/>
          <w:spacing w:val="0"/>
          <w:position w:val="0"/>
          <w:sz w:val="22"/>
          <w:shd w:fill="auto" w:val="clear"/>
        </w:rPr>
        <w:t xml:space="preserve">. Either the NRTL or UNIQUAC methods (both sets of parameters in the Appendix) can be used to model the equilibrium relationship. Note that the big advantage of the simulators is that they DO tell you how much solvent winds up in the extract and how much diluent winds up in the raffinate. They also can give the exit temperatures for an adiabatic column, or the heat duty needed to keep the column isothermal.</w:t>
      </w:r>
    </w:p>
    <w:p>
      <w:pPr>
        <w:spacing w:before="0" w:after="120" w:line="240"/>
        <w:ind w:right="0" w:left="0" w:firstLine="432"/>
        <w:jc w:val="both"/>
        <w:rPr>
          <w:rFonts w:ascii="Times New Roman" w:hAnsi="Times New Roman" w:cs="Times New Roman" w:eastAsia="Times New Roman"/>
          <w:b/>
          <w:color w:val="auto"/>
          <w:spacing w:val="0"/>
          <w:position w:val="0"/>
          <w:sz w:val="24"/>
          <w:shd w:fill="auto" w:val="clear"/>
        </w:rPr>
      </w:pPr>
      <w:r>
        <w:object w:dxaOrig="4346" w:dyaOrig="5257">
          <v:rect xmlns:o="urn:schemas-microsoft-com:office:office" xmlns:v="urn:schemas-microsoft-com:vml" id="rectole0000000002" style="width:217.300000pt;height:262.8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color w:val="auto"/>
          <w:spacing w:val="0"/>
          <w:position w:val="0"/>
          <w:sz w:val="24"/>
          <w:shd w:fill="auto" w:val="clear"/>
        </w:rPr>
        <w:t xml:space="preserve">A York-Scheibel</w:t>
      </w:r>
      <w:r>
        <w:rPr>
          <w:rFonts w:ascii="Times New Roman" w:hAnsi="Times New Roman" w:cs="Times New Roman" w:eastAsia="Times New Roman"/>
          <w:color w:val="auto"/>
          <w:spacing w:val="0"/>
          <w:position w:val="0"/>
          <w:sz w:val="22"/>
          <w:shd w:fill="auto" w:val="clear"/>
        </w:rPr>
        <w:t xml:space="preserve"> apparatus is shown in Figure 2. Feed can be introduced at the bottom (11 stages) or at the middle of the column (6 stages).</w:t>
      </w: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2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York-Scheibel liquid-liquid extraction apparatus.</w:t>
      </w:r>
    </w:p>
    <w:p>
      <w:pPr>
        <w:spacing w:before="0" w:after="120" w:line="240"/>
        <w:ind w:right="0" w:left="0" w:firstLine="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extraction unit consists of a 2" I.D. Pyrex column, with 11 extraction stages, each consisting of a one-inch mixing section and a four-inch wire mesh packing (coalescing) section. The column is mechanically agitated by paddlewheel-type (Rushton turbine) agitators. A variable speed motor, with a control knob and digital readout on the control panel, controls the speed of the agitator. Rotameters on the feed and solvent inlets are used to measure those flow rates. Flow rates of the extract and raffinate can be measured with a graduated cylinder and stopwatch.</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following equations relate the rotameter readings to volumetric flow rates (the flows can also be checked with a graduated cylinder):</w:t>
      </w:r>
    </w:p>
    <w:p>
      <w:pPr>
        <w:tabs>
          <w:tab w:val="right" w:pos="9360" w:leader="none"/>
        </w:tabs>
        <w:spacing w:before="120" w:after="0" w:line="240"/>
        <w:ind w:right="0" w:left="2880" w:firstLine="0"/>
        <w:jc w:val="left"/>
        <w:rPr>
          <w:rFonts w:ascii="Times New Roman" w:hAnsi="Times New Roman" w:cs="Times New Roman" w:eastAsia="Times New Roman"/>
          <w:color w:val="auto"/>
          <w:spacing w:val="0"/>
          <w:position w:val="-16"/>
          <w:sz w:val="22"/>
          <w:shd w:fill="auto" w:val="clear"/>
        </w:rPr>
      </w:pPr>
      <w:r>
        <w:object w:dxaOrig="2444" w:dyaOrig="376">
          <v:rect xmlns:o="urn:schemas-microsoft-com:office:office" xmlns:v="urn:schemas-microsoft-com:vml" id="rectole0000000003" style="width:122.200000pt;height:18.8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color w:val="auto"/>
          <w:spacing w:val="0"/>
          <w:position w:val="-16"/>
          <w:sz w:val="22"/>
          <w:shd w:fill="auto" w:val="clear"/>
        </w:rPr>
        <w:t xml:space="preserve">                                     (2)</w:t>
      </w:r>
    </w:p>
    <w:p>
      <w:pPr>
        <w:tabs>
          <w:tab w:val="right" w:pos="9360" w:leader="none"/>
        </w:tabs>
        <w:spacing w:before="120" w:after="0" w:line="240"/>
        <w:ind w:right="0" w:left="2880" w:firstLine="0"/>
        <w:jc w:val="left"/>
        <w:rPr>
          <w:rFonts w:ascii="Times New Roman" w:hAnsi="Times New Roman" w:cs="Times New Roman" w:eastAsia="Times New Roman"/>
          <w:color w:val="auto"/>
          <w:spacing w:val="0"/>
          <w:position w:val="0"/>
          <w:sz w:val="22"/>
          <w:shd w:fill="auto" w:val="clear"/>
        </w:rPr>
      </w:pPr>
      <w:r>
        <w:object w:dxaOrig="2366" w:dyaOrig="354">
          <v:rect xmlns:o="urn:schemas-microsoft-com:office:office" xmlns:v="urn:schemas-microsoft-com:vml" id="rectole0000000004" style="width:118.300000pt;height:17.7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(3)</w:t>
      </w:r>
    </w:p>
    <w:p>
      <w:pPr>
        <w:tabs>
          <w:tab w:val="left" w:pos="720" w:leader="none"/>
          <w:tab w:val="right" w:pos="9360" w:leader="none"/>
        </w:tabs>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color w:val="auto"/>
          <w:spacing w:val="0"/>
          <w:position w:val="0"/>
          <w:sz w:val="22"/>
          <w:shd w:fill="auto" w:val="clear"/>
        </w:rPr>
        <w:t xml:space="preserve">F</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is the feed flow rate (~10 wt. % IPA) in mL/min,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is the feed rotameter reading,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F</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is the solvent flow rate in ml/min, 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is the solvent rotameter reading.</w:t>
      </w:r>
    </w:p>
    <w:p>
      <w:pPr>
        <w:spacing w:before="12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12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experiment, the properties of n-nonane are a good approximation to those of the hydrocarbon mixture for equilibrium data purposes. The ternary system water/isopropanol/n-nonane exhibits Type I equilibrium behavior (there is some composition range over which phase splitting will not take place) at room temperature. The equilibrium data for this system can be found in the Appendix.</w:t>
      </w:r>
    </w:p>
    <w:p>
      <w:pPr>
        <w:tabs>
          <w:tab w:val="left" w:pos="360" w:leader="none"/>
        </w:tabs>
        <w:spacing w:before="120" w:after="12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Operating the York-Scheibel Column</w:t>
      </w:r>
    </w:p>
    <w:p>
      <w:pPr>
        <w:spacing w:before="120" w:after="120" w:line="240"/>
        <w:ind w:right="0" w:left="792" w:hanging="432"/>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1.1.</w:t>
        <w:tab/>
        <w:t xml:space="preserve">Fill the extractor with hydrocarbon mixture /IPA feed (if necessary) and bleed air from the feed line. Turn off the feed flow.</w:t>
      </w:r>
    </w:p>
    <w:p>
      <w:pPr>
        <w:spacing w:before="120" w:after="120" w:line="240"/>
        <w:ind w:right="0" w:left="792" w:hanging="432"/>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1.2.</w:t>
        <w:tab/>
        <w:t xml:space="preserve">Start the mixer and keep the agitator speed constant.</w:t>
      </w:r>
    </w:p>
    <w:p>
      <w:pPr>
        <w:spacing w:before="120" w:after="120" w:line="240"/>
        <w:ind w:right="0" w:left="792" w:hanging="432"/>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1.3.</w:t>
        <w:tab/>
        <w:t xml:space="preserve">Open the solvent, feed, extract, and raffinate ball valves; and start the flow of solvent (water) into the column.</w:t>
      </w:r>
    </w:p>
    <w:p>
      <w:pPr>
        <w:spacing w:before="120" w:after="120" w:line="240"/>
        <w:ind w:right="0" w:left="792" w:hanging="432"/>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1.4.</w:t>
        <w:tab/>
        <w:t xml:space="preserve">If no interface is present between the solvent entrance and the raffinate exit, let the dispersed phase rise and form the upper interface.</w:t>
      </w:r>
    </w:p>
    <w:p>
      <w:pPr>
        <w:spacing w:before="12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When the upper interface forms, (re-)start the feed flow.</w:t>
      </w:r>
    </w:p>
    <w:p>
      <w:pPr>
        <w:spacing w:before="120" w:after="120" w:line="240"/>
        <w:ind w:right="0" w:left="792" w:hanging="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Control the interface level by adjusting the height of the inverted U on the extract line from the bottom of the tower.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The upper interface level adjustment (inverted U) is sensitive. Movements of a fraction of an inch are often sufficient.</w:t>
      </w:r>
    </w:p>
    <w:p>
      <w:pPr>
        <w:spacing w:before="120" w:after="12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2"/>
          <w:shd w:fill="auto" w:val="clear"/>
        </w:rPr>
        <w:t xml:space="preserve">Periodically check the raff</w:t>
      </w:r>
      <w:r>
        <w:rPr>
          <w:rFonts w:ascii="Times New Roman" w:hAnsi="Times New Roman" w:cs="Times New Roman" w:eastAsia="Times New Roman"/>
          <w:color w:val="auto"/>
          <w:spacing w:val="0"/>
          <w:position w:val="0"/>
          <w:sz w:val="24"/>
          <w:shd w:fill="auto" w:val="clear"/>
        </w:rPr>
        <w:t xml:space="preserve">inate stream for steady state using</w:t>
      </w:r>
      <w:r>
        <w:rPr>
          <w:rFonts w:ascii="Times New Roman" w:hAnsi="Times New Roman" w:cs="Times New Roman" w:eastAsia="Times New Roman"/>
          <w:color w:val="auto"/>
          <w:spacing w:val="0"/>
          <w:position w:val="0"/>
          <w:sz w:val="22"/>
          <w:shd w:fill="auto" w:val="clear"/>
        </w:rPr>
        <w:t xml:space="preserve"> gas chromatography.</w:t>
      </w:r>
      <w:r>
        <w:rPr>
          <w:rFonts w:ascii="Times New Roman" w:hAnsi="Times New Roman" w:cs="Times New Roman" w:eastAsia="Times New Roman"/>
          <w:color w:val="auto"/>
          <w:spacing w:val="0"/>
          <w:position w:val="0"/>
          <w:sz w:val="24"/>
          <w:shd w:fill="auto" w:val="clear"/>
        </w:rPr>
        <w:t xml:space="preserve"> The gas chromotagraph will separate and quantify the components in the sample.</w:t>
      </w:r>
    </w:p>
    <w:p>
      <w:pPr>
        <w:spacing w:before="12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r>
      <w:r>
        <w:rPr>
          <w:rFonts w:ascii="Times New Roman" w:hAnsi="Times New Roman" w:cs="Times New Roman" w:eastAsia="Times New Roman"/>
          <w:color w:val="auto"/>
          <w:spacing w:val="0"/>
          <w:position w:val="0"/>
          <w:sz w:val="24"/>
          <w:shd w:fill="auto" w:val="clear"/>
        </w:rPr>
        <w:t xml:space="preserve">Use a hydrometer to measure the specific gravity of the extract stream and determine the composition. (This also can help confirm that steady state has been reached.) </w:t>
      </w:r>
      <w:r>
        <w:rPr>
          <w:rFonts w:ascii="Times New Roman" w:hAnsi="Times New Roman" w:cs="Times New Roman" w:eastAsia="Times New Roman"/>
          <w:color w:val="auto"/>
          <w:spacing w:val="0"/>
          <w:position w:val="0"/>
          <w:sz w:val="22"/>
          <w:shd w:fill="auto" w:val="clear"/>
        </w:rPr>
        <w:t xml:space="preserve">The extract stream composition vs.</w:t>
      </w:r>
      <w:r>
        <w:rPr>
          <w:rFonts w:ascii="Times New Roman" w:hAnsi="Times New Roman" w:cs="Times New Roman" w:eastAsia="Times New Roman"/>
          <w:color w:val="auto"/>
          <w:spacing w:val="0"/>
          <w:position w:val="0"/>
          <w:sz w:val="24"/>
          <w:shd w:fill="auto" w:val="clear"/>
        </w:rPr>
        <w:t xml:space="preserve"> specific gravity tables can be</w:t>
      </w:r>
      <w:r>
        <w:rPr>
          <w:rFonts w:ascii="Times New Roman" w:hAnsi="Times New Roman" w:cs="Times New Roman" w:eastAsia="Times New Roman"/>
          <w:color w:val="auto"/>
          <w:spacing w:val="0"/>
          <w:position w:val="0"/>
          <w:sz w:val="22"/>
          <w:shd w:fill="auto" w:val="clear"/>
        </w:rPr>
        <w:t xml:space="preserve"> found in Perry’s Handbook.</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0"/>
          <w:position w:val="0"/>
          <w:sz w:val="22"/>
          <w:shd w:fill="auto" w:val="clear"/>
        </w:rPr>
        <w:t xml:space="preserve"> data</w:t>
      </w:r>
      <w:r>
        <w:rPr>
          <w:rFonts w:ascii="Times New Roman" w:hAnsi="Times New Roman" w:cs="Times New Roman" w:eastAsia="Times New Roman"/>
          <w:color w:val="auto"/>
          <w:spacing w:val="0"/>
          <w:position w:val="0"/>
          <w:sz w:val="24"/>
          <w:shd w:fill="auto" w:val="clear"/>
        </w:rPr>
        <w:t xml:space="preserve"> can be used</w:t>
      </w:r>
      <w:r>
        <w:rPr>
          <w:rFonts w:ascii="Times New Roman" w:hAnsi="Times New Roman" w:cs="Times New Roman" w:eastAsia="Times New Roman"/>
          <w:color w:val="auto"/>
          <w:spacing w:val="0"/>
          <w:position w:val="0"/>
          <w:sz w:val="22"/>
          <w:shd w:fill="auto" w:val="clear"/>
        </w:rPr>
        <w:t xml:space="preserve"> to interpolate weight percent.</w:t>
      </w:r>
    </w:p>
    <w:p>
      <w:pPr>
        <w:spacing w:before="120" w:after="12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Use a hydrometer to measure t</w:t>
      </w:r>
      <w:r>
        <w:rPr>
          <w:rFonts w:ascii="Times New Roman" w:hAnsi="Times New Roman" w:cs="Times New Roman" w:eastAsia="Times New Roman"/>
          <w:color w:val="auto"/>
          <w:spacing w:val="0"/>
          <w:position w:val="0"/>
          <w:sz w:val="22"/>
          <w:shd w:fill="auto" w:val="clear"/>
        </w:rPr>
        <w:t xml:space="preserve">he specific gravity of the feed and raffinate for use in subsequent calculations.</w:t>
      </w:r>
    </w:p>
    <w:p>
      <w:pPr>
        <w:spacing w:before="120" w:after="12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w:t>
      </w:r>
      <w:r>
        <w:rPr>
          <w:rFonts w:ascii="Times New Roman" w:hAnsi="Times New Roman" w:cs="Times New Roman" w:eastAsia="Times New Roman"/>
          <w:color w:val="auto"/>
          <w:spacing w:val="0"/>
          <w:position w:val="0"/>
          <w:sz w:val="22"/>
          <w:shd w:fill="auto" w:val="clear"/>
        </w:rPr>
        <w:t xml:space="preserve">hutdown Procedure</w:t>
      </w:r>
    </w:p>
    <w:p>
      <w:pPr>
        <w:spacing w:before="120" w:after="12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Once the experiments is complete, turn off the agitator and main power switch. </w:t>
      </w:r>
    </w:p>
    <w:p>
      <w:pPr>
        <w:spacing w:before="120" w:after="12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Close the feed and solvent ball valves, leaving the raffinate and extract ball valves open.</w:t>
      </w: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Representative Results:</w:t>
      </w:r>
    </w:p>
    <w:p>
      <w:pPr>
        <w:spacing w:before="0" w:after="120" w:line="240"/>
        <w:ind w:right="0" w:left="0" w:firstLine="432"/>
        <w:jc w:val="left"/>
        <w:rPr>
          <w:rFonts w:ascii="Calibri" w:hAnsi="Calibri" w:cs="Calibri" w:eastAsia="Calibri"/>
          <w:color w:val="auto"/>
          <w:spacing w:val="0"/>
          <w:position w:val="0"/>
          <w:sz w:val="22"/>
          <w:shd w:fill="auto" w:val="clear"/>
        </w:rPr>
      </w:pPr>
      <w:r>
        <w:object w:dxaOrig="6275" w:dyaOrig="5003">
          <v:rect xmlns:o="urn:schemas-microsoft-com:office:office" xmlns:v="urn:schemas-microsoft-com:vml" id="rectole0000000005" style="width:313.750000pt;height:250.1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Calibri" w:hAnsi="Calibri" w:cs="Calibri" w:eastAsia="Calibri"/>
          <w:color w:val="auto"/>
          <w:spacing w:val="0"/>
          <w:position w:val="0"/>
          <w:sz w:val="22"/>
          <w:shd w:fill="auto" w:val="clear"/>
        </w:rPr>
        <w:t xml:space="preserve">Figures 3 and 4 show results when both the agitation and feed flow rates were varied over a wide range. The overall efficiency and recovery increase before becoming asymptotic, which is fairly typical of liquid-liquid extractors that are not at or near flooding. At near flooding conditions, the overall efficiency and recovery are expected to sharply decrease. Note that, unlike distillation, flooding can take place in liquid-liquid extraction at either high solvent or high feed rates (or ratios).</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In this experiment, the lighter organic phase is also the dispersed (droplet) phase, so at high feed rates it is expected that the droplets coalescence prior to flooding, leading to lower rates of mass transfer and, therefore, lower recoveries and efficiencies. At high solvent rates the droplets should remain small, so it is expected that the recovery and efficiency remain high until very near the flooding point.</w:t>
      </w: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3: Percent recovery of IPA from hydrocarbon mixture into water, for a York-Scheibel column, 11 stages, 16-18 mol% IPA in Isopar E (feed), S/F (molar) = 1.5.</w:t>
      </w:r>
    </w:p>
    <w:p>
      <w:pPr>
        <w:spacing w:before="120" w:after="160" w:line="259"/>
        <w:ind w:right="0" w:left="0" w:firstLine="0"/>
        <w:jc w:val="both"/>
        <w:rPr>
          <w:rFonts w:ascii="Calibri" w:hAnsi="Calibri" w:cs="Calibri" w:eastAsia="Calibri"/>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120" w:after="160" w:line="259"/>
        <w:ind w:right="0" w:left="0" w:firstLine="0"/>
        <w:jc w:val="both"/>
        <w:rPr>
          <w:rFonts w:ascii="Calibri" w:hAnsi="Calibri" w:cs="Calibri" w:eastAsia="Calibri"/>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r>
        <w:object w:dxaOrig="6262" w:dyaOrig="5003">
          <v:rect xmlns:o="urn:schemas-microsoft-com:office:office" xmlns:v="urn:schemas-microsoft-com:vml" id="rectole0000000006" style="width:313.100000pt;height:250.1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b/>
          <w:color w:val="auto"/>
          <w:spacing w:val="0"/>
          <w:position w:val="0"/>
          <w:sz w:val="22"/>
          <w:shd w:fill="auto" w:val="clear"/>
        </w:rPr>
      </w:pPr>
    </w:p>
    <w:p>
      <w:pPr>
        <w:spacing w:before="12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4:</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Percent overall stage efficiency for IPA extraction using a York-Scheibel column, 11 stages, 16 - 18 mol% IPA in hydrocarbon mixture (feed), S/F (molar) = 1.5.</w:t>
      </w:r>
    </w:p>
    <w:p>
      <w:pPr>
        <w:keepNext w:val="true"/>
        <w:keepLines w:val="true"/>
        <w:spacing w:before="0" w:after="120" w:line="240"/>
        <w:ind w:right="0" w:left="0" w:firstLine="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seen from Figures 3 and 4, increasing the agitation rate increases both the recovery and overall efficiency. This is because with greater power input the droplets of the dispersed phase are smaller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observed dependence is roughly inverse with respect to agitator speed.</w:t>
      </w:r>
      <w:r>
        <w:rPr>
          <w:rFonts w:ascii="Calibri" w:hAnsi="Calibri" w:cs="Calibri" w:eastAsia="Calibri"/>
          <w:color w:val="auto"/>
          <w:spacing w:val="0"/>
          <w:position w:val="0"/>
          <w:sz w:val="22"/>
          <w:shd w:fill="auto" w:val="clear"/>
          <w:vertAlign w:val="superscript"/>
        </w:rPr>
        <w:t xml:space="preserve">4</w:t>
      </w:r>
      <w:r>
        <w:rPr>
          <w:rFonts w:ascii="Calibri" w:hAnsi="Calibri" w:cs="Calibri" w:eastAsia="Calibri"/>
          <w:color w:val="auto"/>
          <w:spacing w:val="0"/>
          <w:position w:val="0"/>
          <w:sz w:val="22"/>
          <w:shd w:fill="auto" w:val="clear"/>
        </w:rPr>
        <w:t xml:space="preserve"> The “a” parameter (interfacial area/total volume) that appears in mass transfer correlations and fundamental mass flux equations can be written as follows for uniform-size spherical droplets:</w:t>
      </w:r>
    </w:p>
    <w:p>
      <w:pPr>
        <w:spacing w:before="12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 6  /d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ab/>
        <w:tab/>
        <w:tab/>
        <w:tab/>
        <w:tab/>
        <w:tab/>
        <w:tab/>
        <w:t xml:space="preserve">(4)</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is the volume fr</w:t>
      </w:r>
      <w:r>
        <w:rPr>
          <w:rFonts w:ascii="Times New Roman" w:hAnsi="Times New Roman" w:cs="Times New Roman" w:eastAsia="Times New Roman"/>
          <w:color w:val="auto"/>
          <w:spacing w:val="0"/>
          <w:position w:val="0"/>
          <w:sz w:val="24"/>
          <w:shd w:fill="auto" w:val="clear"/>
        </w:rPr>
        <w:t xml:space="preserve">action of the dispersed phase. </w:t>
      </w:r>
      <w:r>
        <w:rPr>
          <w:rFonts w:ascii="Times New Roman" w:hAnsi="Times New Roman" w:cs="Times New Roman" w:eastAsia="Times New Roman"/>
          <w:color w:val="auto"/>
          <w:spacing w:val="0"/>
          <w:position w:val="0"/>
          <w:sz w:val="22"/>
          <w:shd w:fill="auto" w:val="clear"/>
        </w:rPr>
        <w:t xml:space="preserve">While  can increase with an increase in either phase’s superficial velocity, its changes are usually less marked than the change of diameter with respect to speed.  So (usually) the more speed, the more interfacial area, leading to faster mass transfer.</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exception to the above discussion is at very </w:t>
      </w:r>
      <w:r>
        <w:rPr>
          <w:rFonts w:ascii="Times New Roman" w:hAnsi="Times New Roman" w:cs="Times New Roman" w:eastAsia="Times New Roman"/>
          <w:color w:val="auto"/>
          <w:spacing w:val="0"/>
          <w:position w:val="0"/>
          <w:sz w:val="24"/>
          <w:shd w:fill="auto" w:val="clear"/>
        </w:rPr>
        <w:t xml:space="preserve">high speeds, which was not reached in Figs. 3 and 4</w:t>
      </w:r>
      <w:r>
        <w:rPr>
          <w:rFonts w:ascii="Times New Roman" w:hAnsi="Times New Roman" w:cs="Times New Roman" w:eastAsia="Times New Roman"/>
          <w:color w:val="auto"/>
          <w:spacing w:val="0"/>
          <w:position w:val="0"/>
          <w:sz w:val="22"/>
          <w:shd w:fill="auto" w:val="clear"/>
        </w:rPr>
        <w:t xml:space="preserve">, where </w:t>
      </w:r>
      <w:r>
        <w:rPr>
          <w:rFonts w:ascii="Times New Roman" w:hAnsi="Times New Roman" w:cs="Times New Roman" w:eastAsia="Times New Roman"/>
          <w:color w:val="auto"/>
          <w:spacing w:val="0"/>
          <w:position w:val="0"/>
          <w:sz w:val="24"/>
          <w:shd w:fill="auto" w:val="clear"/>
        </w:rPr>
        <w:t xml:space="preserve">the two phases are so well-mixed</w:t>
      </w:r>
      <w:r>
        <w:rPr>
          <w:rFonts w:ascii="Times New Roman" w:hAnsi="Times New Roman" w:cs="Times New Roman" w:eastAsia="Times New Roman"/>
          <w:color w:val="auto"/>
          <w:spacing w:val="0"/>
          <w:position w:val="0"/>
          <w:sz w:val="22"/>
          <w:shd w:fill="auto" w:val="clear"/>
        </w:rPr>
        <w:t xml:space="preserve"> that if the interfacial tension between them is low, e</w:t>
      </w:r>
      <w:r>
        <w:rPr>
          <w:rFonts w:ascii="Times New Roman" w:hAnsi="Times New Roman" w:cs="Times New Roman" w:eastAsia="Times New Roman"/>
          <w:color w:val="auto"/>
          <w:spacing w:val="0"/>
          <w:position w:val="0"/>
          <w:sz w:val="24"/>
          <w:shd w:fill="auto" w:val="clear"/>
        </w:rPr>
        <w:t xml:space="preserve">mulsification will take place. </w:t>
      </w:r>
      <w:r>
        <w:rPr>
          <w:rFonts w:ascii="Times New Roman" w:hAnsi="Times New Roman" w:cs="Times New Roman" w:eastAsia="Times New Roman"/>
          <w:color w:val="auto"/>
          <w:spacing w:val="0"/>
          <w:position w:val="0"/>
          <w:sz w:val="22"/>
          <w:shd w:fill="auto" w:val="clear"/>
        </w:rPr>
        <w:t xml:space="preserve">The formation of an emulsion negatively impact</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2"/>
          <w:shd w:fill="auto" w:val="clear"/>
        </w:rPr>
        <w:t xml:space="preserve"> recovery and</w:t>
      </w:r>
      <w:r>
        <w:rPr>
          <w:rFonts w:ascii="Times New Roman" w:hAnsi="Times New Roman" w:cs="Times New Roman" w:eastAsia="Times New Roman"/>
          <w:color w:val="auto"/>
          <w:spacing w:val="0"/>
          <w:position w:val="0"/>
          <w:sz w:val="24"/>
          <w:shd w:fill="auto" w:val="clear"/>
        </w:rPr>
        <w:t xml:space="preserve"> efficiency</w:t>
      </w:r>
      <w:r>
        <w:rPr>
          <w:rFonts w:ascii="Times New Roman" w:hAnsi="Times New Roman" w:cs="Times New Roman" w:eastAsia="Times New Roman"/>
          <w:color w:val="auto"/>
          <w:spacing w:val="0"/>
          <w:position w:val="0"/>
          <w:sz w:val="22"/>
          <w:shd w:fill="auto" w:val="clear"/>
        </w:rPr>
        <w:t xml:space="preserve"> because the phases can no longer separate cleanly to move up or down to the next physical stage.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Emulsification is a problem in many liquid-liquid extractions and where it cannot be limited a series of mixer and settler vessels in series is often preferred to column-type designs such as sieve trays or York-Scheibel units.</w:t>
      </w:r>
    </w:p>
    <w:p>
      <w:pPr>
        <w:spacing w:before="12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Liquid-liquid extraction (LLE) is an alternative to distillation which relies upon solvent-feed immiscibility (or slight miscibility) and favorable solute partition coefficients to attain high solute recoveries in a solvent phase at as low a solvent/feed ratio as practical.</w:t>
      </w:r>
      <w:r>
        <w:rPr>
          <w:rFonts w:ascii="Times New Roman" w:hAnsi="Times New Roman" w:cs="Times New Roman" w:eastAsia="Times New Roman"/>
          <w:color w:val="auto"/>
          <w:spacing w:val="0"/>
          <w:position w:val="0"/>
          <w:sz w:val="24"/>
          <w:shd w:fill="auto" w:val="clear"/>
        </w:rPr>
        <w:t xml:space="preserve"> Although</w:t>
      </w:r>
      <w:r>
        <w:rPr>
          <w:rFonts w:ascii="Times New Roman" w:hAnsi="Times New Roman" w:cs="Times New Roman" w:eastAsia="Times New Roman"/>
          <w:color w:val="auto"/>
          <w:spacing w:val="0"/>
          <w:position w:val="0"/>
          <w:sz w:val="22"/>
          <w:shd w:fill="auto" w:val="clear"/>
        </w:rPr>
        <w:t xml:space="preserve"> the range of flows (the “turndown”) over which LLE will be effective is often limited, and while stage efficiencies are low such that phase equilibrium is not attained, certain mixtures just cannot be separated </w:t>
      </w:r>
      <w:r>
        <w:rPr>
          <w:rFonts w:ascii="Times New Roman" w:hAnsi="Times New Roman" w:cs="Times New Roman" w:eastAsia="Times New Roman"/>
          <w:color w:val="auto"/>
          <w:spacing w:val="0"/>
          <w:position w:val="0"/>
          <w:sz w:val="24"/>
          <w:shd w:fill="auto" w:val="clear"/>
        </w:rPr>
        <w:t xml:space="preserve">using other methods </w:t>
      </w:r>
      <w:r>
        <w:rPr>
          <w:rFonts w:ascii="Times New Roman" w:hAnsi="Times New Roman" w:cs="Times New Roman" w:eastAsia="Times New Roman"/>
          <w:color w:val="auto"/>
          <w:spacing w:val="0"/>
          <w:position w:val="0"/>
          <w:sz w:val="22"/>
          <w:shd w:fill="auto" w:val="clear"/>
        </w:rPr>
        <w:t xml:space="preserve">in a cont</w:t>
      </w:r>
      <w:r>
        <w:rPr>
          <w:rFonts w:ascii="Times New Roman" w:hAnsi="Times New Roman" w:cs="Times New Roman" w:eastAsia="Times New Roman"/>
          <w:color w:val="auto"/>
          <w:spacing w:val="0"/>
          <w:position w:val="0"/>
          <w:sz w:val="24"/>
          <w:shd w:fill="auto" w:val="clear"/>
        </w:rPr>
        <w:t xml:space="preserve">inuous countercurrent process. </w:t>
      </w:r>
      <w:r>
        <w:rPr>
          <w:rFonts w:ascii="Times New Roman" w:hAnsi="Times New Roman" w:cs="Times New Roman" w:eastAsia="Times New Roman"/>
          <w:color w:val="auto"/>
          <w:spacing w:val="0"/>
          <w:position w:val="0"/>
          <w:sz w:val="22"/>
          <w:shd w:fill="auto" w:val="clear"/>
        </w:rPr>
        <w:t xml:space="preserve">Mathematical analysis of the equilibrium operation of such extractors follows a familiar McCabe-Thiele-type procedure (although reflux is often lacking</w:t>
      </w:r>
      <w:r>
        <w:rPr>
          <w:rFonts w:ascii="Times New Roman" w:hAnsi="Times New Roman" w:cs="Times New Roman" w:eastAsia="Times New Roman"/>
          <w:color w:val="auto"/>
          <w:spacing w:val="0"/>
          <w:position w:val="0"/>
          <w:sz w:val="24"/>
          <w:shd w:fill="auto" w:val="clear"/>
        </w:rPr>
        <w:t xml:space="preserve">, so only one operating line). </w:t>
      </w:r>
      <w:r>
        <w:rPr>
          <w:rFonts w:ascii="Times New Roman" w:hAnsi="Times New Roman" w:cs="Times New Roman" w:eastAsia="Times New Roman"/>
          <w:color w:val="auto"/>
          <w:spacing w:val="0"/>
          <w:position w:val="0"/>
          <w:sz w:val="22"/>
          <w:shd w:fill="auto" w:val="clear"/>
        </w:rPr>
        <w:t xml:space="preserve">The non-equilibrium (“rate-based”) analysis of LLEs is complex and depends strongly on the relative velocity between the two phases (the “slip velocity”), bubble size, and dispersed phase fraction, all of which can be observed but are difficult to predict.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perfectly describe the hydraulics and mass transfer of a typical LLE is beyond the capability of even the most sophisticated p</w:t>
      </w:r>
      <w:r>
        <w:rPr>
          <w:rFonts w:ascii="Times New Roman" w:hAnsi="Times New Roman" w:cs="Times New Roman" w:eastAsia="Times New Roman"/>
          <w:color w:val="auto"/>
          <w:spacing w:val="0"/>
          <w:position w:val="0"/>
          <w:sz w:val="24"/>
          <w:shd w:fill="auto" w:val="clear"/>
        </w:rPr>
        <w:t xml:space="preserve">rocess simulators, at present. </w:t>
      </w:r>
      <w:r>
        <w:rPr>
          <w:rFonts w:ascii="Times New Roman" w:hAnsi="Times New Roman" w:cs="Times New Roman" w:eastAsia="Times New Roman"/>
          <w:color w:val="auto"/>
          <w:spacing w:val="0"/>
          <w:position w:val="0"/>
          <w:sz w:val="22"/>
          <w:shd w:fill="auto" w:val="clear"/>
        </w:rPr>
        <w:t xml:space="preserve">Therefore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 design of industrial units still relies on scale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up from pilot-plant-type un</w:t>
      </w:r>
      <w:r>
        <w:rPr>
          <w:rFonts w:ascii="Times New Roman" w:hAnsi="Times New Roman" w:cs="Times New Roman" w:eastAsia="Times New Roman"/>
          <w:color w:val="auto"/>
          <w:spacing w:val="0"/>
          <w:position w:val="0"/>
          <w:sz w:val="24"/>
          <w:shd w:fill="auto" w:val="clear"/>
        </w:rPr>
        <w:t xml:space="preserve">its, such as that which was tested in this experiment. </w:t>
      </w:r>
      <w:r>
        <w:rPr>
          <w:rFonts w:ascii="Times New Roman" w:hAnsi="Times New Roman" w:cs="Times New Roman" w:eastAsia="Times New Roman"/>
          <w:color w:val="auto"/>
          <w:spacing w:val="0"/>
          <w:position w:val="0"/>
          <w:sz w:val="22"/>
          <w:shd w:fill="auto" w:val="clear"/>
        </w:rPr>
        <w:t xml:space="preserve">Normally the engineer </w:t>
      </w:r>
      <w:r>
        <w:rPr>
          <w:rFonts w:ascii="Times New Roman" w:hAnsi="Times New Roman" w:cs="Times New Roman" w:eastAsia="Times New Roman"/>
          <w:color w:val="auto"/>
          <w:spacing w:val="0"/>
          <w:position w:val="0"/>
          <w:sz w:val="24"/>
          <w:shd w:fill="auto" w:val="clear"/>
        </w:rPr>
        <w:t xml:space="preserve">attempts to duplicate </w:t>
      </w:r>
      <w:r>
        <w:rPr>
          <w:rFonts w:ascii="Times New Roman" w:hAnsi="Times New Roman" w:cs="Times New Roman" w:eastAsia="Times New Roman"/>
          <w:color w:val="auto"/>
          <w:spacing w:val="0"/>
          <w:position w:val="0"/>
          <w:sz w:val="22"/>
          <w:shd w:fill="auto" w:val="clear"/>
        </w:rPr>
        <w:t xml:space="preserve">key descriptors </w:t>
      </w:r>
      <w:r>
        <w:rPr>
          <w:rFonts w:ascii="Times New Roman" w:hAnsi="Times New Roman" w:cs="Times New Roman" w:eastAsia="Times New Roman"/>
          <w:color w:val="auto"/>
          <w:spacing w:val="0"/>
          <w:position w:val="0"/>
          <w:sz w:val="24"/>
          <w:shd w:fill="auto" w:val="clear"/>
        </w:rPr>
        <w:t xml:space="preserve">such </w:t>
      </w:r>
      <w:r>
        <w:rPr>
          <w:rFonts w:ascii="Times New Roman" w:hAnsi="Times New Roman" w:cs="Times New Roman" w:eastAsia="Times New Roman"/>
          <w:color w:val="auto"/>
          <w:spacing w:val="0"/>
          <w:position w:val="0"/>
          <w:sz w:val="22"/>
          <w:shd w:fill="auto" w:val="clear"/>
        </w:rPr>
        <w:t xml:space="preserve">as the “a” parameter, solvent/feed ratio, total agitator power input/volume, feed location and number of</w:t>
      </w:r>
      <w:r>
        <w:rPr>
          <w:rFonts w:ascii="Times New Roman" w:hAnsi="Times New Roman" w:cs="Times New Roman" w:eastAsia="Times New Roman"/>
          <w:color w:val="auto"/>
          <w:spacing w:val="0"/>
          <w:position w:val="0"/>
          <w:sz w:val="24"/>
          <w:shd w:fill="auto" w:val="clear"/>
        </w:rPr>
        <w:t xml:space="preserve"> physical stages</w:t>
      </w:r>
      <w:r>
        <w:rPr>
          <w:rFonts w:ascii="Times New Roman" w:hAnsi="Times New Roman" w:cs="Times New Roman" w:eastAsia="Times New Roman"/>
          <w:color w:val="auto"/>
          <w:spacing w:val="0"/>
          <w:position w:val="0"/>
          <w:sz w:val="22"/>
          <w:shd w:fill="auto" w:val="clear"/>
        </w:rPr>
        <w:t xml:space="preserve"> to keep the stage efficiency and recovery constant during scale</w:t>
      </w:r>
      <w:r>
        <w:rPr>
          <w:rFonts w:ascii="Times New Roman" w:hAnsi="Times New Roman" w:cs="Times New Roman" w:eastAsia="Times New Roman"/>
          <w:color w:val="auto"/>
          <w:spacing w:val="0"/>
          <w:position w:val="0"/>
          <w:sz w:val="24"/>
          <w:shd w:fill="auto" w:val="clear"/>
        </w:rPr>
        <w:t xml:space="preserve">-up. </w:t>
      </w:r>
      <w:r>
        <w:rPr>
          <w:rFonts w:ascii="Times New Roman" w:hAnsi="Times New Roman" w:cs="Times New Roman" w:eastAsia="Times New Roman"/>
          <w:color w:val="auto"/>
          <w:spacing w:val="0"/>
          <w:position w:val="0"/>
          <w:sz w:val="22"/>
          <w:shd w:fill="auto" w:val="clear"/>
        </w:rPr>
        <w:t xml:space="preserve">Even so, scale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up is an inexact science, and impurities, which alter the interfacial tension, can greatly impact th</w:t>
      </w:r>
      <w:r>
        <w:rPr>
          <w:rFonts w:ascii="Times New Roman" w:hAnsi="Times New Roman" w:cs="Times New Roman" w:eastAsia="Times New Roman"/>
          <w:color w:val="auto"/>
          <w:spacing w:val="0"/>
          <w:position w:val="0"/>
          <w:sz w:val="24"/>
          <w:shd w:fill="auto" w:val="clear"/>
        </w:rPr>
        <w:t xml:space="preserve">e performance of real systems. The more</w:t>
      </w:r>
      <w:r>
        <w:rPr>
          <w:rFonts w:ascii="Times New Roman" w:hAnsi="Times New Roman" w:cs="Times New Roman" w:eastAsia="Times New Roman"/>
          <w:color w:val="auto"/>
          <w:spacing w:val="0"/>
          <w:position w:val="0"/>
          <w:sz w:val="22"/>
          <w:shd w:fill="auto" w:val="clear"/>
        </w:rPr>
        <w:t xml:space="preserve"> factors that </w:t>
      </w:r>
      <w:r>
        <w:rPr>
          <w:rFonts w:ascii="Times New Roman" w:hAnsi="Times New Roman" w:cs="Times New Roman" w:eastAsia="Times New Roman"/>
          <w:color w:val="auto"/>
          <w:spacing w:val="0"/>
          <w:position w:val="0"/>
          <w:sz w:val="24"/>
          <w:shd w:fill="auto" w:val="clear"/>
        </w:rPr>
        <w:t xml:space="preserve">are</w:t>
      </w:r>
      <w:r>
        <w:rPr>
          <w:rFonts w:ascii="Times New Roman" w:hAnsi="Times New Roman" w:cs="Times New Roman" w:eastAsia="Times New Roman"/>
          <w:color w:val="auto"/>
          <w:spacing w:val="0"/>
          <w:position w:val="0"/>
          <w:sz w:val="22"/>
          <w:shd w:fill="auto" w:val="clear"/>
        </w:rPr>
        <w:t xml:space="preserve"> held constant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 the more likely the scale</w:t>
      </w:r>
      <w:r>
        <w:rPr>
          <w:rFonts w:ascii="Times New Roman" w:hAnsi="Times New Roman" w:cs="Times New Roman" w:eastAsia="Times New Roman"/>
          <w:color w:val="auto"/>
          <w:spacing w:val="0"/>
          <w:position w:val="0"/>
          <w:sz w:val="24"/>
          <w:shd w:fill="auto" w:val="clear"/>
        </w:rPr>
        <w:t xml:space="preserve">-up will</w:t>
      </w:r>
      <w:r>
        <w:rPr>
          <w:rFonts w:ascii="Times New Roman" w:hAnsi="Times New Roman" w:cs="Times New Roman" w:eastAsia="Times New Roman"/>
          <w:color w:val="auto"/>
          <w:spacing w:val="0"/>
          <w:position w:val="0"/>
          <w:sz w:val="22"/>
          <w:shd w:fill="auto" w:val="clear"/>
        </w:rPr>
        <w:t xml:space="preserve"> be successful.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are many different LLE contactors</w:t>
      </w:r>
      <w:r>
        <w:rPr>
          <w:rFonts w:ascii="Times New Roman" w:hAnsi="Times New Roman" w:cs="Times New Roman" w:eastAsia="Times New Roman"/>
          <w:color w:val="auto"/>
          <w:spacing w:val="0"/>
          <w:position w:val="0"/>
          <w:sz w:val="24"/>
          <w:shd w:fill="auto" w:val="clear"/>
        </w:rPr>
        <w:t xml:space="preserve">: a series of mixers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settler vessels, structured packings similar to those used in absorbers and distillation columns, sieve tray columns, rotating disk contactors (similar to the York-Scheibel, but with baffles instead of mesh), Kuhni contactors (a combination of rotating disk and sieve trays), and Podbielniak contactors (“Pods”), where the flow is radial and centrifugal force is used to enhance liquid phase separation.</w:t>
      </w:r>
      <w:r>
        <w:rPr>
          <w:rFonts w:ascii="Times New Roman" w:hAnsi="Times New Roman" w:cs="Times New Roman" w:eastAsia="Times New Roman"/>
          <w:color w:val="auto"/>
          <w:spacing w:val="0"/>
          <w:position w:val="0"/>
          <w:sz w:val="22"/>
          <w:shd w:fill="auto" w:val="clear"/>
          <w:vertAlign w:val="superscript"/>
        </w:rPr>
        <w:t xml:space="preserve">5</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classic example of industrial LLE is </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0"/>
          <w:position w:val="0"/>
          <w:sz w:val="22"/>
          <w:shd w:fill="auto" w:val="clear"/>
        </w:rPr>
        <w:t xml:space="preserve">separation of acetic acid from water using ethyl ether or ethyl acetate;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it is preferred over distillation at low</w:t>
      </w:r>
      <w:r>
        <w:rPr>
          <w:rFonts w:ascii="Times New Roman" w:hAnsi="Times New Roman" w:cs="Times New Roman" w:eastAsia="Times New Roman"/>
          <w:color w:val="auto"/>
          <w:spacing w:val="0"/>
          <w:position w:val="0"/>
          <w:sz w:val="24"/>
          <w:shd w:fill="auto" w:val="clear"/>
        </w:rPr>
        <w:t xml:space="preserve">er acetic acid concentrations. </w:t>
      </w:r>
      <w:r>
        <w:rPr>
          <w:rFonts w:ascii="Times New Roman" w:hAnsi="Times New Roman" w:cs="Times New Roman" w:eastAsia="Times New Roman"/>
          <w:color w:val="auto"/>
          <w:spacing w:val="0"/>
          <w:position w:val="0"/>
          <w:sz w:val="22"/>
          <w:shd w:fill="auto" w:val="clear"/>
        </w:rPr>
        <w:t xml:space="preserve">Possibly the biggest volume LLE process is that of propane deasphalting,</w:t>
      </w:r>
      <w:r>
        <w:rPr>
          <w:rFonts w:ascii="Times New Roman" w:hAnsi="Times New Roman" w:cs="Times New Roman" w:eastAsia="Times New Roman"/>
          <w:color w:val="auto"/>
          <w:spacing w:val="0"/>
          <w:position w:val="0"/>
          <w:sz w:val="24"/>
          <w:shd w:fill="auto" w:val="clear"/>
        </w:rPr>
        <w:t xml:space="preserve"> which is</w:t>
      </w:r>
      <w:r>
        <w:rPr>
          <w:rFonts w:ascii="Times New Roman" w:hAnsi="Times New Roman" w:cs="Times New Roman" w:eastAsia="Times New Roman"/>
          <w:color w:val="auto"/>
          <w:spacing w:val="0"/>
          <w:position w:val="0"/>
          <w:sz w:val="22"/>
          <w:shd w:fill="auto" w:val="clear"/>
        </w:rPr>
        <w:t xml:space="preserve"> used to refine lubricating oils in refineries at near-supercritical conditions.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However, </w:t>
      </w:r>
      <w:r>
        <w:rPr>
          <w:rFonts w:ascii="Times New Roman" w:hAnsi="Times New Roman" w:cs="Times New Roman" w:eastAsia="Times New Roman"/>
          <w:color w:val="auto"/>
          <w:spacing w:val="0"/>
          <w:position w:val="0"/>
          <w:sz w:val="22"/>
          <w:shd w:fill="auto" w:val="clear"/>
        </w:rPr>
        <w:t xml:space="preserve">most applications are found in the</w:t>
      </w:r>
      <w:r>
        <w:rPr>
          <w:rFonts w:ascii="Times New Roman" w:hAnsi="Times New Roman" w:cs="Times New Roman" w:eastAsia="Times New Roman"/>
          <w:color w:val="auto"/>
          <w:spacing w:val="0"/>
          <w:position w:val="0"/>
          <w:sz w:val="24"/>
          <w:shd w:fill="auto" w:val="clear"/>
        </w:rPr>
        <w:t xml:space="preserve"> production of</w:t>
      </w:r>
      <w:r>
        <w:rPr>
          <w:rFonts w:ascii="Times New Roman" w:hAnsi="Times New Roman" w:cs="Times New Roman" w:eastAsia="Times New Roman"/>
          <w:color w:val="auto"/>
          <w:spacing w:val="0"/>
          <w:position w:val="0"/>
          <w:sz w:val="22"/>
          <w:shd w:fill="auto" w:val="clear"/>
        </w:rPr>
        <w:t xml:space="preserve"> specialty chemicals and </w:t>
      </w:r>
      <w:r>
        <w:rPr>
          <w:rFonts w:ascii="Times New Roman" w:hAnsi="Times New Roman" w:cs="Times New Roman" w:eastAsia="Times New Roman"/>
          <w:color w:val="auto"/>
          <w:spacing w:val="0"/>
          <w:position w:val="0"/>
          <w:sz w:val="24"/>
          <w:shd w:fill="auto" w:val="clear"/>
        </w:rPr>
        <w:t xml:space="preserve">in </w:t>
      </w:r>
      <w:r>
        <w:rPr>
          <w:rFonts w:ascii="Times New Roman" w:hAnsi="Times New Roman" w:cs="Times New Roman" w:eastAsia="Times New Roman"/>
          <w:color w:val="auto"/>
          <w:spacing w:val="0"/>
          <w:position w:val="0"/>
          <w:sz w:val="22"/>
          <w:shd w:fill="auto" w:val="clear"/>
        </w:rPr>
        <w:t xml:space="preserve">pharma</w:t>
      </w:r>
      <w:r>
        <w:rPr>
          <w:rFonts w:ascii="Times New Roman" w:hAnsi="Times New Roman" w:cs="Times New Roman" w:eastAsia="Times New Roman"/>
          <w:color w:val="auto"/>
          <w:spacing w:val="0"/>
          <w:position w:val="0"/>
          <w:sz w:val="24"/>
          <w:shd w:fill="auto" w:val="clear"/>
        </w:rPr>
        <w:t xml:space="preserve">ceutical</w:t>
      </w:r>
      <w:r>
        <w:rPr>
          <w:rFonts w:ascii="Times New Roman" w:hAnsi="Times New Roman" w:cs="Times New Roman" w:eastAsia="Times New Roman"/>
          <w:color w:val="auto"/>
          <w:spacing w:val="0"/>
          <w:position w:val="0"/>
          <w:sz w:val="22"/>
          <w:shd w:fill="auto" w:val="clear"/>
        </w:rPr>
        <w:t xml:space="preserve"> industries, ranging from citric acid extraction from fermentation broth t</w:t>
      </w:r>
      <w:r>
        <w:rPr>
          <w:rFonts w:ascii="Times New Roman" w:hAnsi="Times New Roman" w:cs="Times New Roman" w:eastAsia="Times New Roman"/>
          <w:color w:val="auto"/>
          <w:spacing w:val="0"/>
          <w:position w:val="0"/>
          <w:sz w:val="24"/>
          <w:shd w:fill="auto" w:val="clear"/>
        </w:rPr>
        <w:t xml:space="preserve">o purification of antibiotics and</w:t>
      </w:r>
      <w:r>
        <w:rPr>
          <w:rFonts w:ascii="Times New Roman" w:hAnsi="Times New Roman" w:cs="Times New Roman" w:eastAsia="Times New Roman"/>
          <w:color w:val="auto"/>
          <w:spacing w:val="0"/>
          <w:position w:val="0"/>
          <w:sz w:val="22"/>
          <w:shd w:fill="auto" w:val="clear"/>
        </w:rPr>
        <w:t xml:space="preserve"> protein purifications.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In these cases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 a wide variety </w:t>
      </w:r>
      <w:r>
        <w:rPr>
          <w:rFonts w:ascii="Times New Roman" w:hAnsi="Times New Roman" w:cs="Times New Roman" w:eastAsia="Times New Roman"/>
          <w:color w:val="auto"/>
          <w:spacing w:val="0"/>
          <w:position w:val="0"/>
          <w:sz w:val="24"/>
          <w:shd w:fill="auto" w:val="clear"/>
        </w:rPr>
        <w:t xml:space="preserve">of oxygenated organic solvents </w:t>
      </w:r>
      <w:r>
        <w:rPr>
          <w:rFonts w:ascii="Times New Roman" w:hAnsi="Times New Roman" w:cs="Times New Roman" w:eastAsia="Times New Roman"/>
          <w:color w:val="auto"/>
          <w:spacing w:val="0"/>
          <w:position w:val="0"/>
          <w:sz w:val="22"/>
          <w:shd w:fill="auto" w:val="clear"/>
        </w:rPr>
        <w:t xml:space="preserve">or two-phase aqueous systems (</w:t>
      </w:r>
      <w:r>
        <w:rPr>
          <w:rFonts w:ascii="Times New Roman" w:hAnsi="Times New Roman" w:cs="Times New Roman" w:eastAsia="Times New Roman"/>
          <w:color w:val="auto"/>
          <w:spacing w:val="0"/>
          <w:position w:val="0"/>
          <w:sz w:val="24"/>
          <w:shd w:fill="auto" w:val="clear"/>
        </w:rPr>
        <w:t xml:space="preserve">with </w:t>
      </w:r>
      <w:r>
        <w:rPr>
          <w:rFonts w:ascii="Times New Roman" w:hAnsi="Times New Roman" w:cs="Times New Roman" w:eastAsia="Times New Roman"/>
          <w:color w:val="auto"/>
          <w:spacing w:val="0"/>
          <w:position w:val="0"/>
          <w:sz w:val="22"/>
          <w:shd w:fill="auto" w:val="clear"/>
        </w:rPr>
        <w:t xml:space="preserve">one phase </w:t>
      </w:r>
      <w:r>
        <w:rPr>
          <w:rFonts w:ascii="Times New Roman" w:hAnsi="Times New Roman" w:cs="Times New Roman" w:eastAsia="Times New Roman"/>
          <w:color w:val="auto"/>
          <w:spacing w:val="0"/>
          <w:position w:val="0"/>
          <w:sz w:val="24"/>
          <w:shd w:fill="auto" w:val="clear"/>
        </w:rPr>
        <w:t xml:space="preserve">being mostly water and</w:t>
      </w:r>
      <w:r>
        <w:rPr>
          <w:rFonts w:ascii="Times New Roman" w:hAnsi="Times New Roman" w:cs="Times New Roman" w:eastAsia="Times New Roman"/>
          <w:color w:val="auto"/>
          <w:spacing w:val="0"/>
          <w:position w:val="0"/>
          <w:sz w:val="22"/>
          <w:shd w:fill="auto" w:val="clear"/>
        </w:rPr>
        <w:t xml:space="preserve"> the other aqueous dissolved salts and polymers) are utilized. For the latter, a typical polymer system i</w:t>
      </w:r>
      <w:r>
        <w:rPr>
          <w:rFonts w:ascii="Times New Roman" w:hAnsi="Times New Roman" w:cs="Times New Roman" w:eastAsia="Times New Roman"/>
          <w:color w:val="auto"/>
          <w:spacing w:val="0"/>
          <w:position w:val="0"/>
          <w:sz w:val="24"/>
          <w:shd w:fill="auto" w:val="clear"/>
        </w:rPr>
        <w:t xml:space="preserve">s poly(ethylene glycol)/dextran with </w:t>
      </w:r>
      <w:r>
        <w:rPr>
          <w:rFonts w:ascii="Times New Roman" w:hAnsi="Times New Roman" w:cs="Times New Roman" w:eastAsia="Times New Roman"/>
          <w:color w:val="auto"/>
          <w:spacing w:val="0"/>
          <w:position w:val="0"/>
          <w:sz w:val="22"/>
          <w:shd w:fill="auto" w:val="clear"/>
        </w:rPr>
        <w:t xml:space="preserve">NaCl and Na</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SO</w:t>
      </w:r>
      <w:r>
        <w:rPr>
          <w:rFonts w:ascii="Times New Roman" w:hAnsi="Times New Roman" w:cs="Times New Roman" w:eastAsia="Times New Roman"/>
          <w:color w:val="auto"/>
          <w:spacing w:val="0"/>
          <w:position w:val="0"/>
          <w:sz w:val="22"/>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as salts. A</w:t>
      </w:r>
      <w:r>
        <w:rPr>
          <w:rFonts w:ascii="Times New Roman" w:hAnsi="Times New Roman" w:cs="Times New Roman" w:eastAsia="Times New Roman"/>
          <w:color w:val="auto"/>
          <w:spacing w:val="0"/>
          <w:position w:val="0"/>
          <w:sz w:val="22"/>
          <w:shd w:fill="auto" w:val="clear"/>
        </w:rPr>
        <w:t xml:space="preserve">pplications include </w:t>
      </w:r>
      <w:r>
        <w:rPr>
          <w:rFonts w:ascii="Times New Roman" w:hAnsi="Times New Roman" w:cs="Times New Roman" w:eastAsia="Times New Roman"/>
          <w:color w:val="auto"/>
          <w:spacing w:val="0"/>
          <w:position w:val="0"/>
          <w:sz w:val="24"/>
          <w:shd w:fill="auto" w:val="clear"/>
        </w:rPr>
        <w:t xml:space="preserve">red blood cell separation</w:t>
      </w:r>
      <w:r>
        <w:rPr>
          <w:rFonts w:ascii="Times New Roman" w:hAnsi="Times New Roman" w:cs="Times New Roman" w:eastAsia="Times New Roman"/>
          <w:color w:val="auto"/>
          <w:spacing w:val="0"/>
          <w:position w:val="0"/>
          <w:sz w:val="22"/>
          <w:shd w:fill="auto" w:val="clear"/>
        </w:rPr>
        <w:t xml:space="preserve"> and extraction of the phophofructokinase enzyme from S. cerevisiae.</w:t>
      </w:r>
      <w:r>
        <w:rPr>
          <w:rFonts w:ascii="Times New Roman" w:hAnsi="Times New Roman" w:cs="Times New Roman" w:eastAsia="Times New Roman"/>
          <w:color w:val="auto"/>
          <w:spacing w:val="0"/>
          <w:position w:val="0"/>
          <w:sz w:val="22"/>
          <w:shd w:fill="auto" w:val="clear"/>
          <w:vertAlign w:val="superscript"/>
        </w:rPr>
        <w:t xml:space="preserve">7</w:t>
      </w:r>
    </w:p>
    <w:p>
      <w:pPr>
        <w:keepNext w:val="true"/>
        <w:keepLines w:val="true"/>
        <w:spacing w:before="4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Disclosures:</w:t>
      </w:r>
    </w:p>
    <w:p>
      <w:pPr>
        <w:keepNext w:val="true"/>
        <w:keepLines w:val="true"/>
        <w:spacing w:before="4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Acknowledgements:</w:t>
      </w:r>
    </w:p>
    <w:p>
      <w:pPr>
        <w:keepNext w:val="true"/>
        <w:keepLines w:val="true"/>
        <w:spacing w:before="4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References:</w:t>
      </w:r>
    </w:p>
    <w:p>
      <w:pPr>
        <w:tabs>
          <w:tab w:val="left" w:pos="360" w:leader="none"/>
        </w:tabs>
        <w:spacing w:before="24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T.C. Frank, L. Dahuron, B.S. Holden, W.D. Prince, A.F. Seibert and L.C. Wilson, Ch. 15 of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“Chemical Engineers Handbook, 8</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Edition”, R.H. Perry and D.W. Green, Eds., McGraw-Hill, New York, 2008.</w:t>
      </w:r>
    </w:p>
    <w:p>
      <w:pPr>
        <w:tabs>
          <w:tab w:val="left" w:pos="360" w:leader="none"/>
        </w:tabs>
        <w:spacing w:before="24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W.L. McCabe, J.C. Smith, and P. Harriott, “Unit Operations of Chemical Engineering”, 7th Ed., McGraw-Hill, New York, 2005, Ch. 23; C.J. Geankoplis, “Transport Processes and Unit Operations”, 3</w:t>
      </w:r>
      <w:r>
        <w:rPr>
          <w:rFonts w:ascii="Times New Roman" w:hAnsi="Times New Roman" w:cs="Times New Roman" w:eastAsia="Times New Roman"/>
          <w:color w:val="auto"/>
          <w:spacing w:val="0"/>
          <w:position w:val="0"/>
          <w:sz w:val="22"/>
          <w:shd w:fill="auto" w:val="clear"/>
          <w:vertAlign w:val="superscript"/>
        </w:rPr>
        <w:t xml:space="preserve">rd</w:t>
      </w:r>
      <w:r>
        <w:rPr>
          <w:rFonts w:ascii="Times New Roman" w:hAnsi="Times New Roman" w:cs="Times New Roman" w:eastAsia="Times New Roman"/>
          <w:color w:val="auto"/>
          <w:spacing w:val="0"/>
          <w:position w:val="0"/>
          <w:sz w:val="22"/>
          <w:shd w:fill="auto" w:val="clear"/>
        </w:rPr>
        <w:t xml:space="preserve"> Ed., Prentice-Hall, Englewood Cliffs, 1993, Ch. 12;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R.K. Sinnott, “Coulson and Richardson’s Chemical Engineering Vol. 6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Chemical Engineering Design (4</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ed.):  </w:t>
      </w:r>
      <w:hyperlink xmlns:r="http://schemas.openxmlformats.org/officeDocument/2006/relationships" r:id="docRId14">
        <w:r>
          <w:rPr>
            <w:rFonts w:ascii="Times New Roman" w:hAnsi="Times New Roman" w:cs="Times New Roman" w:eastAsia="Times New Roman"/>
            <w:color w:val="0000FF"/>
            <w:spacing w:val="0"/>
            <w:position w:val="0"/>
            <w:sz w:val="22"/>
            <w:u w:val="single"/>
            <w:shd w:fill="auto" w:val="clear"/>
          </w:rPr>
          <w:t xml:space="preserve">http://app.knovel.com/hotlink/toc/id:kpCRCEVCE2/coulson-richardsons-chemical/coulson-richardsons-chemical</w:t>
        </w:r>
      </w:hyperlink>
      <w:r>
        <w:rPr>
          <w:rFonts w:ascii="Times New Roman" w:hAnsi="Times New Roman" w:cs="Times New Roman" w:eastAsia="Times New Roman"/>
          <w:color w:val="auto"/>
          <w:spacing w:val="0"/>
          <w:position w:val="0"/>
          <w:sz w:val="22"/>
          <w:shd w:fill="auto" w:val="clear"/>
        </w:rPr>
        <w:t xml:space="preserve"> </w:t>
      </w:r>
    </w:p>
    <w:p>
      <w:pPr>
        <w:tabs>
          <w:tab w:val="left" w:pos="360" w:leader="none"/>
        </w:tabs>
        <w:spacing w:before="24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B.E. Poling, G.H. Thomson, D.G. Friend, R.L. Rowley and W.V. Wilding, Ch.2 of “Chemical Engineers Handbook, 8</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Edition”, R.H. Perry and D.W. Green, Eds., McGraw-Hill, New York, 2008.</w:t>
      </w:r>
    </w:p>
    <w:p>
      <w:pPr>
        <w:tabs>
          <w:tab w:val="left" w:pos="360" w:leader="none"/>
        </w:tabs>
        <w:spacing w:before="24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J.C. Godfrey, R. Reeve and F.I.N. Obi, </w:t>
      </w:r>
      <w:r>
        <w:rPr>
          <w:rFonts w:ascii="Times New Roman" w:hAnsi="Times New Roman" w:cs="Times New Roman" w:eastAsia="Times New Roman"/>
          <w:i/>
          <w:color w:val="auto"/>
          <w:spacing w:val="0"/>
          <w:position w:val="0"/>
          <w:sz w:val="22"/>
          <w:shd w:fill="auto" w:val="clear"/>
        </w:rPr>
        <w:t xml:space="preserve">Chem. Eng. Prog.</w:t>
      </w:r>
      <w:r>
        <w:rPr>
          <w:rFonts w:ascii="Times New Roman" w:hAnsi="Times New Roman" w:cs="Times New Roman" w:eastAsia="Times New Roman"/>
          <w:color w:val="auto"/>
          <w:spacing w:val="0"/>
          <w:position w:val="0"/>
          <w:sz w:val="22"/>
          <w:shd w:fill="auto" w:val="clear"/>
        </w:rPr>
        <w:t xml:space="preserve"> Dec. 1989. pp. 61-69; I. Alatiqi, G. Aly, F. Mjalli and C.J. Mumford, </w:t>
      </w:r>
      <w:r>
        <w:rPr>
          <w:rFonts w:ascii="Times New Roman" w:hAnsi="Times New Roman" w:cs="Times New Roman" w:eastAsia="Times New Roman"/>
          <w:i/>
          <w:color w:val="auto"/>
          <w:spacing w:val="0"/>
          <w:position w:val="0"/>
          <w:sz w:val="22"/>
          <w:shd w:fill="auto" w:val="clear"/>
        </w:rPr>
        <w:t xml:space="preserve">Canad. J. Chem. Eng.</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u w:val="single"/>
          <w:shd w:fill="auto" w:val="clear"/>
        </w:rPr>
        <w:t xml:space="preserve">73</w:t>
      </w:r>
      <w:r>
        <w:rPr>
          <w:rFonts w:ascii="Times New Roman" w:hAnsi="Times New Roman" w:cs="Times New Roman" w:eastAsia="Times New Roman"/>
          <w:color w:val="auto"/>
          <w:spacing w:val="0"/>
          <w:position w:val="0"/>
          <w:sz w:val="22"/>
          <w:shd w:fill="auto" w:val="clear"/>
        </w:rPr>
        <w:t xml:space="preserve">, 523-533 (1995).</w:t>
      </w:r>
    </w:p>
    <w:p>
      <w:pPr>
        <w:tabs>
          <w:tab w:val="left" w:pos="360" w:leader="none"/>
        </w:tabs>
        <w:spacing w:before="24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r>
      <w:hyperlink xmlns:r="http://schemas.openxmlformats.org/officeDocument/2006/relationships" r:id="docRId15">
        <w:r>
          <w:rPr>
            <w:rFonts w:ascii="Times New Roman" w:hAnsi="Times New Roman" w:cs="Times New Roman" w:eastAsia="Times New Roman"/>
            <w:color w:val="0000FF"/>
            <w:spacing w:val="0"/>
            <w:position w:val="0"/>
            <w:sz w:val="22"/>
            <w:u w:val="single"/>
            <w:shd w:fill="auto" w:val="clear"/>
          </w:rPr>
          <w:t xml:space="preserve">http://www.pharmaceuticalonline.com/doc/podbielniak-contactor-a-unique-liquid-liquid-0003</w:t>
        </w:r>
      </w:hyperlink>
      <w:r>
        <w:rPr>
          <w:rFonts w:ascii="Times New Roman" w:hAnsi="Times New Roman" w:cs="Times New Roman" w:eastAsia="Times New Roman"/>
          <w:color w:val="auto"/>
          <w:spacing w:val="0"/>
          <w:position w:val="0"/>
          <w:sz w:val="22"/>
          <w:shd w:fill="auto" w:val="clear"/>
        </w:rPr>
        <w:t xml:space="preserve"> (accessed 12/19/16).</w:t>
      </w:r>
    </w:p>
    <w:p>
      <w:p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6.</w:t>
        <w:tab/>
      </w:r>
      <w:r>
        <w:rPr>
          <w:rFonts w:ascii="Times New Roman" w:hAnsi="Times New Roman" w:cs="Times New Roman" w:eastAsia="Times New Roman"/>
          <w:color w:val="auto"/>
          <w:spacing w:val="0"/>
          <w:position w:val="0"/>
          <w:sz w:val="24"/>
          <w:shd w:fill="auto" w:val="clear"/>
        </w:rPr>
        <w:t xml:space="preserve">C.J. King, Ch. 18.5 of “Handbook of Solvent Extraction”, T.C. Lo, M.H.I Baird and C. Hanson, Eds., Wiley, New York, 1983.</w:t>
      </w:r>
    </w:p>
    <w:p>
      <w:pPr>
        <w:tabs>
          <w:tab w:val="left" w:pos="360" w:leader="none"/>
        </w:tabs>
        <w:spacing w:before="24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“Methods in Enzymology, Vol. 228, Aqueous Two-Phase Systems,” H. Walter and G. Johannson, Eds., Academic, San Diego, 1994.</w:t>
      </w:r>
    </w:p>
    <w:p>
      <w:pPr>
        <w:tabs>
          <w:tab w:val="left" w:pos="360" w:leader="none"/>
        </w:tabs>
        <w:spacing w:before="24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A.I. Vorobeva and M.Kh. Karapetyants, </w:t>
      </w:r>
      <w:r>
        <w:rPr>
          <w:rFonts w:ascii="Times New Roman" w:hAnsi="Times New Roman" w:cs="Times New Roman" w:eastAsia="Times New Roman"/>
          <w:i/>
          <w:color w:val="auto"/>
          <w:spacing w:val="0"/>
          <w:position w:val="0"/>
          <w:sz w:val="22"/>
          <w:shd w:fill="auto" w:val="clear"/>
        </w:rPr>
        <w:t xml:space="preserve">Zh. Fiz. Khim.</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u w:val="single"/>
          <w:shd w:fill="auto" w:val="clear"/>
        </w:rPr>
        <w:t xml:space="preserve">41</w:t>
      </w:r>
      <w:r>
        <w:rPr>
          <w:rFonts w:ascii="Times New Roman" w:hAnsi="Times New Roman" w:cs="Times New Roman" w:eastAsia="Times New Roman"/>
          <w:color w:val="auto"/>
          <w:spacing w:val="0"/>
          <w:position w:val="0"/>
          <w:sz w:val="22"/>
          <w:shd w:fill="auto" w:val="clear"/>
        </w:rPr>
        <w:t xml:space="preserve">, 1984 (1967).  Fits to data from:  J. Gmehling, and U. Onken, "Vapor-liquid equilibrium data collection", Dechema, 1977.</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0" w:line="240"/>
        <w:ind w:right="0" w:left="0" w:firstLine="0"/>
        <w:jc w:val="both"/>
        <w:rPr>
          <w:rFonts w:ascii="Times New Roman" w:hAnsi="Times New Roman" w:cs="Times New Roman" w:eastAsia="Times New Roman"/>
          <w:b/>
          <w:color w:val="auto"/>
          <w:spacing w:val="0"/>
          <w:position w:val="0"/>
          <w:sz w:val="22"/>
          <w:shd w:fill="auto" w:val="clear"/>
          <w:vertAlign w:val="superscript"/>
        </w:rPr>
      </w:pPr>
      <w:r>
        <w:rPr>
          <w:rFonts w:ascii="Times New Roman" w:hAnsi="Times New Roman" w:cs="Times New Roman" w:eastAsia="Times New Roman"/>
          <w:b/>
          <w:color w:val="auto"/>
          <w:spacing w:val="0"/>
          <w:position w:val="0"/>
          <w:sz w:val="22"/>
          <w:shd w:fill="auto" w:val="clear"/>
        </w:rPr>
        <w:t xml:space="preserve">Appendix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Equilibrium Data</w:t>
      </w:r>
      <w:r>
        <w:rPr>
          <w:rFonts w:ascii="Times New Roman" w:hAnsi="Times New Roman" w:cs="Times New Roman" w:eastAsia="Times New Roman"/>
          <w:b/>
          <w:color w:val="auto"/>
          <w:spacing w:val="0"/>
          <w:position w:val="0"/>
          <w:sz w:val="22"/>
          <w:shd w:fill="auto" w:val="clear"/>
          <w:vertAlign w:val="superscript"/>
        </w:rPr>
        <w:t xml:space="preserve">8</w:t>
      </w:r>
    </w:p>
    <w:tbl>
      <w:tblPr/>
      <w:tblGrid>
        <w:gridCol w:w="540"/>
        <w:gridCol w:w="601"/>
        <w:gridCol w:w="1289"/>
        <w:gridCol w:w="1440"/>
        <w:gridCol w:w="1440"/>
        <w:gridCol w:w="1440"/>
        <w:gridCol w:w="3974"/>
      </w:tblGrid>
      <w:tr>
        <w:trPr>
          <w:trHeight w:val="5117" w:hRule="auto"/>
          <w:jc w:val="left"/>
        </w:trPr>
        <w:tc>
          <w:tcPr>
            <w:tcW w:w="10724" w:type="dxa"/>
            <w:gridSpan w:val="7"/>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Experimental Tie</w:t>
            </w:r>
            <w:r>
              <w:rPr>
                <w:rFonts w:ascii="Times New Roman" w:hAnsi="Times New Roman" w:cs="Times New Roman" w:eastAsia="Times New Roman"/>
                <w:b/>
                <w:color w:val="auto"/>
                <w:spacing w:val="0"/>
                <w:position w:val="0"/>
                <w:sz w:val="24"/>
                <w:shd w:fill="auto" w:val="clear"/>
              </w:rPr>
              <w:t xml:space="preserve"> Lines in Mole Percent at 25 &amp;#176;</w:t>
            </w:r>
            <w:r>
              <w:rPr>
                <w:rFonts w:ascii="Times New Roman" w:hAnsi="Times New Roman" w:cs="Times New Roman" w:eastAsia="Times New Roman"/>
                <w:b/>
                <w:color w:val="auto"/>
                <w:spacing w:val="0"/>
                <w:position w:val="0"/>
                <w:sz w:val="22"/>
                <w:shd w:fill="auto" w:val="clear"/>
              </w:rPr>
              <w:t xml:space="preserve">C</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object w:dxaOrig="7507" w:dyaOrig="4377">
                <v:rect xmlns:o="urn:schemas-microsoft-com:office:office" xmlns:v="urn:schemas-microsoft-com:vml" id="rectole0000000007" style="width:375.350000pt;height:218.8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7" ShapeID="rectole0000000007" r:id="docRId16"/>
              </w:objec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2"/>
                <w:shd w:fill="auto" w:val="clear"/>
              </w:rPr>
              <w:t xml:space="preserve">Specific Model Parameters in Kelvin</w:t>
            </w:r>
          </w:p>
        </w:tc>
      </w:tr>
      <w:tr>
        <w:trPr>
          <w:trHeight w:val="1" w:hRule="atLeast"/>
          <w:jc w:val="left"/>
        </w:trPr>
        <w:tc>
          <w:tcPr>
            <w:tcW w:w="114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2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UNIQUAC</w:t>
            </w:r>
          </w:p>
        </w:tc>
        <w:tc>
          <w:tcPr>
            <w:tcW w:w="288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NRTL (</w:t>
            </w:r>
            <w:r>
              <w:rPr>
                <w:rFonts w:ascii="Symbol" w:hAnsi="Symbol" w:cs="Symbol" w:eastAsia="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 0.2)</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I</w:t>
            </w:r>
          </w:p>
        </w:tc>
        <w:tc>
          <w:tcPr>
            <w:tcW w:w="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J</w:t>
            </w:r>
          </w:p>
        </w:tc>
        <w:tc>
          <w:tcPr>
            <w:tcW w:w="1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AIJ</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AJI</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AIJ</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AJI</w:t>
            </w:r>
          </w:p>
        </w:tc>
      </w:tr>
      <w:tr>
        <w:trPr>
          <w:trHeight w:val="296"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-186.05</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104.6</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814.26</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-468.11</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361.91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621.82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3151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1367.4</w:t>
            </w:r>
          </w:p>
        </w:tc>
      </w:tr>
      <w:tr>
        <w:trPr>
          <w:trHeight w:val="215"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-126.43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311.7</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581.79</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-25.91</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440" w:firstLine="720"/>
        <w:jc w:val="left"/>
        <w:rPr>
          <w:rFonts w:ascii="Times New Roman" w:hAnsi="Times New Roman" w:cs="Times New Roman" w:eastAsia="Times New Roman"/>
          <w:color w:val="auto"/>
          <w:spacing w:val="0"/>
          <w:position w:val="0"/>
          <w:sz w:val="22"/>
          <w:shd w:fill="auto" w:val="clear"/>
        </w:rPr>
      </w:pPr>
    </w:p>
    <w:p>
      <w:pPr>
        <w:spacing w:before="0" w:after="0" w:line="240"/>
        <w:ind w:right="0" w:left="216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R1 = 0.92</w:t>
        <w:tab/>
        <w:t xml:space="preserve">R2 = 2.7792</w:t>
        <w:tab/>
        <w:t xml:space="preserve">R3 = 6.523</w:t>
      </w:r>
    </w:p>
    <w:tbl>
      <w:tblPr/>
      <w:tblGrid>
        <w:gridCol w:w="4675"/>
        <w:gridCol w:w="3229"/>
      </w:tblGrid>
      <w:tr>
        <w:trPr>
          <w:trHeight w:val="279" w:hRule="auto"/>
          <w:jc w:val="left"/>
        </w:trPr>
        <w:tc>
          <w:tcPr>
            <w:tcW w:w="79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Mean Deviation between Calculate and Experimental Concentrations in Mol. %</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UNIQUAC (specific parameters)</w:t>
            </w:r>
          </w:p>
        </w:tc>
        <w:tc>
          <w:tcPr>
            <w:tcW w:w="32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r>
          </w:p>
        </w:tc>
      </w:tr>
      <w:tr>
        <w:trPr>
          <w:trHeight w:val="269" w:hRule="auto"/>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NRTL (specific parameters)</w:t>
            </w:r>
          </w:p>
        </w:tc>
        <w:tc>
          <w:tcPr>
            <w:tcW w:w="32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0.54</w:t>
            </w:r>
          </w:p>
        </w:tc>
      </w:tr>
      <w:tr>
        <w:trPr>
          <w:trHeight w:val="292" w:hRule="auto"/>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UNIQUAC (default parameters)</w:t>
            </w:r>
          </w:p>
        </w:tc>
        <w:tc>
          <w:tcPr>
            <w:tcW w:w="32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1.68</w:t>
            </w:r>
          </w:p>
        </w:tc>
      </w:tr>
    </w:tbl>
    <w:p>
      <w:pPr>
        <w:spacing w:before="0" w:after="0" w:line="240"/>
        <w:ind w:right="0" w:left="216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Q1 = 1.4</w:t>
        <w:tab/>
        <w:t xml:space="preserve">Q2 = 2.508</w:t>
        <w:tab/>
        <w:t xml:space="preserve">Q3 = 5.476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7.wmf" Id="docRId17"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Mode="External" Target="http://app.knovel.com/hotlink/toc/id:kpCRCEVCE2/coulson-richardsons-chemical/coulson-richardsons-chemical" Id="docRId14" Type="http://schemas.openxmlformats.org/officeDocument/2006/relationships/hyperlink" /><Relationship Target="numbering.xml" Id="docRId18" Type="http://schemas.openxmlformats.org/officeDocument/2006/relationships/numbering"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ode="External" Target="http://www.pharmaceuticalonline.com/doc/podbielniak-contactor-a-unique-liquid-liquid-0003" Id="docRId15" Type="http://schemas.openxmlformats.org/officeDocument/2006/relationships/hyperlink" /><Relationship Target="styles.xml" Id="docRId19"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7.bin" Id="docRId16" Type="http://schemas.openxmlformats.org/officeDocument/2006/relationships/oleObject"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