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79D6A" w14:textId="77777777" w:rsidR="000F3039" w:rsidRDefault="00171864">
      <w:r>
        <w:rPr>
          <w:noProof/>
        </w:rPr>
        <w:drawing>
          <wp:inline distT="0" distB="0" distL="0" distR="0" wp14:anchorId="19A13435" wp14:editId="585C92FE">
            <wp:extent cx="4433978" cy="2277110"/>
            <wp:effectExtent l="0" t="0" r="11430" b="889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895D7D-21CF-ED48-96B1-030766462D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14:paraId="504E9145" w14:textId="77777777" w:rsidR="00171864" w:rsidRDefault="00171864"/>
    <w:p w14:paraId="7127F2E2" w14:textId="77777777" w:rsidR="00171864" w:rsidRDefault="00171864">
      <w:r>
        <w:rPr>
          <w:noProof/>
        </w:rPr>
        <w:drawing>
          <wp:inline distT="0" distB="0" distL="0" distR="0" wp14:anchorId="72800DE3" wp14:editId="35A1A1B8">
            <wp:extent cx="5025683" cy="3138854"/>
            <wp:effectExtent l="0" t="0" r="29210" b="3619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1489C8A-CBEF-8B4E-B25A-BA16D9868C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49DBABE" w14:textId="77777777" w:rsidR="00171864" w:rsidRDefault="00171864"/>
    <w:p w14:paraId="5211E191" w14:textId="77777777" w:rsidR="00171864" w:rsidRPr="00636554" w:rsidRDefault="00171864" w:rsidP="00171864">
      <w:pPr>
        <w:widowControl w:val="0"/>
        <w:autoSpaceDE w:val="0"/>
        <w:autoSpaceDN w:val="0"/>
        <w:adjustRightInd w:val="0"/>
        <w:rPr>
          <w:rFonts w:eastAsia="ＭＳ 明朝"/>
          <w:b/>
          <w:sz w:val="22"/>
          <w:szCs w:val="22"/>
        </w:rPr>
      </w:pPr>
      <w:r w:rsidRPr="005056AA">
        <w:rPr>
          <w:rFonts w:eastAsia="ＭＳ 明朝"/>
          <w:b/>
          <w:sz w:val="22"/>
          <w:szCs w:val="22"/>
        </w:rPr>
        <w:t xml:space="preserve">Figure 1: Comparison of load-deflection curves for unreinforced and reinforced concrete beams at (a) small loads and (b) large loads (full curves). </w:t>
      </w:r>
    </w:p>
    <w:p w14:paraId="130749A7" w14:textId="77777777" w:rsidR="00171864" w:rsidRDefault="00171864"/>
    <w:sectPr w:rsidR="00171864" w:rsidSect="000F3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64"/>
    <w:rsid w:val="000F3039"/>
    <w:rsid w:val="00171864"/>
    <w:rsid w:val="005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1607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8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8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Users/Roberto/Documents/My%20Documents%20June%202015%20Part%201/Personal/JOVE%20Scripts/beams%20in%20tensi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Users/Roberto/Documents/My%20Documents%20June%202015%20Part%201/Personal/JOVE%20Scripts/beams%20in%20tens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1653952592192"/>
          <c:y val="0.0747762121840033"/>
          <c:w val="0.70551034179504"/>
          <c:h val="0.745723580605056"/>
        </c:manualLayout>
      </c:layout>
      <c:scatterChart>
        <c:scatterStyle val="lineMarker"/>
        <c:varyColors val="0"/>
        <c:ser>
          <c:idx val="1"/>
          <c:order val="1"/>
          <c:tx>
            <c:v>Unreinforced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98B-B14A-836C-A28FD1818997}"/>
              </c:ext>
            </c:extLst>
          </c:dPt>
          <c:xVal>
            <c:numRef>
              <c:f>Beams!$F$3:$F$30</c:f>
              <c:numCache>
                <c:formatCode>General</c:formatCode>
                <c:ptCount val="28"/>
                <c:pt idx="0">
                  <c:v>0.0</c:v>
                </c:pt>
                <c:pt idx="1">
                  <c:v>0.003</c:v>
                </c:pt>
                <c:pt idx="2">
                  <c:v>0.006</c:v>
                </c:pt>
                <c:pt idx="3">
                  <c:v>0.009</c:v>
                </c:pt>
                <c:pt idx="4">
                  <c:v>0.012</c:v>
                </c:pt>
                <c:pt idx="5">
                  <c:v>0.015</c:v>
                </c:pt>
                <c:pt idx="6">
                  <c:v>0.02</c:v>
                </c:pt>
                <c:pt idx="7">
                  <c:v>0.025</c:v>
                </c:pt>
                <c:pt idx="8">
                  <c:v>0.025</c:v>
                </c:pt>
                <c:pt idx="9">
                  <c:v>0.03</c:v>
                </c:pt>
                <c:pt idx="10">
                  <c:v>0.035</c:v>
                </c:pt>
                <c:pt idx="11">
                  <c:v>0.04</c:v>
                </c:pt>
                <c:pt idx="12">
                  <c:v>0.045</c:v>
                </c:pt>
                <c:pt idx="13">
                  <c:v>0.05</c:v>
                </c:pt>
                <c:pt idx="14">
                  <c:v>0.055</c:v>
                </c:pt>
                <c:pt idx="15">
                  <c:v>0.06</c:v>
                </c:pt>
                <c:pt idx="16">
                  <c:v>0.065</c:v>
                </c:pt>
                <c:pt idx="17">
                  <c:v>0.07</c:v>
                </c:pt>
                <c:pt idx="18">
                  <c:v>0.075</c:v>
                </c:pt>
                <c:pt idx="19">
                  <c:v>0.08</c:v>
                </c:pt>
                <c:pt idx="20">
                  <c:v>0.085</c:v>
                </c:pt>
                <c:pt idx="21">
                  <c:v>0.095</c:v>
                </c:pt>
                <c:pt idx="22">
                  <c:v>0.12</c:v>
                </c:pt>
                <c:pt idx="23">
                  <c:v>0.15</c:v>
                </c:pt>
                <c:pt idx="24">
                  <c:v>0.2</c:v>
                </c:pt>
                <c:pt idx="25">
                  <c:v>0.3</c:v>
                </c:pt>
                <c:pt idx="26">
                  <c:v>0.4</c:v>
                </c:pt>
                <c:pt idx="27">
                  <c:v>0.5</c:v>
                </c:pt>
              </c:numCache>
            </c:numRef>
          </c:xVal>
          <c:yVal>
            <c:numRef>
              <c:f>Beams!$H$3:$H$30</c:f>
              <c:numCache>
                <c:formatCode>General</c:formatCode>
                <c:ptCount val="28"/>
                <c:pt idx="0">
                  <c:v>0.0</c:v>
                </c:pt>
                <c:pt idx="1">
                  <c:v>142.0</c:v>
                </c:pt>
                <c:pt idx="2">
                  <c:v>230.0</c:v>
                </c:pt>
                <c:pt idx="3">
                  <c:v>354.0</c:v>
                </c:pt>
                <c:pt idx="4">
                  <c:v>412.0</c:v>
                </c:pt>
                <c:pt idx="5">
                  <c:v>520.0</c:v>
                </c:pt>
                <c:pt idx="6">
                  <c:v>650.0</c:v>
                </c:pt>
                <c:pt idx="7">
                  <c:v>784.0</c:v>
                </c:pt>
                <c:pt idx="8">
                  <c:v>420.0</c:v>
                </c:pt>
                <c:pt idx="9">
                  <c:v>712.0</c:v>
                </c:pt>
                <c:pt idx="10">
                  <c:v>856.0</c:v>
                </c:pt>
                <c:pt idx="11">
                  <c:v>1030.0</c:v>
                </c:pt>
                <c:pt idx="12">
                  <c:v>1185.0</c:v>
                </c:pt>
                <c:pt idx="13">
                  <c:v>1363.0</c:v>
                </c:pt>
                <c:pt idx="14">
                  <c:v>1489.0</c:v>
                </c:pt>
                <c:pt idx="15">
                  <c:v>1648.0</c:v>
                </c:pt>
                <c:pt idx="16">
                  <c:v>1778.0</c:v>
                </c:pt>
                <c:pt idx="17">
                  <c:v>1950.0</c:v>
                </c:pt>
                <c:pt idx="18">
                  <c:v>2090.0</c:v>
                </c:pt>
                <c:pt idx="19">
                  <c:v>2230.0</c:v>
                </c:pt>
                <c:pt idx="20">
                  <c:v>2323.0</c:v>
                </c:pt>
                <c:pt idx="21">
                  <c:v>2525.0</c:v>
                </c:pt>
                <c:pt idx="22">
                  <c:v>2700.0</c:v>
                </c:pt>
                <c:pt idx="23">
                  <c:v>2900.0</c:v>
                </c:pt>
                <c:pt idx="24">
                  <c:v>3100.0</c:v>
                </c:pt>
                <c:pt idx="25">
                  <c:v>3300.0</c:v>
                </c:pt>
                <c:pt idx="26">
                  <c:v>3400.0</c:v>
                </c:pt>
                <c:pt idx="27">
                  <c:v>3450.0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98B-B14A-836C-A28FD1818997}"/>
            </c:ext>
          </c:extLst>
        </c:ser>
        <c:ser>
          <c:idx val="0"/>
          <c:order val="0"/>
          <c:tx>
            <c:v>Unreinforced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Beams!$F$3:$F$8</c:f>
              <c:numCache>
                <c:formatCode>General</c:formatCode>
                <c:ptCount val="6"/>
                <c:pt idx="0">
                  <c:v>0.0</c:v>
                </c:pt>
                <c:pt idx="1">
                  <c:v>0.003</c:v>
                </c:pt>
                <c:pt idx="2">
                  <c:v>0.006</c:v>
                </c:pt>
                <c:pt idx="3">
                  <c:v>0.009</c:v>
                </c:pt>
                <c:pt idx="4">
                  <c:v>0.012</c:v>
                </c:pt>
                <c:pt idx="5">
                  <c:v>0.015</c:v>
                </c:pt>
              </c:numCache>
            </c:numRef>
          </c:xVal>
          <c:yVal>
            <c:numRef>
              <c:f>Beams!$G$3:$G$8</c:f>
              <c:numCache>
                <c:formatCode>General</c:formatCode>
                <c:ptCount val="6"/>
                <c:pt idx="0">
                  <c:v>0.0</c:v>
                </c:pt>
                <c:pt idx="1">
                  <c:v>89.0</c:v>
                </c:pt>
                <c:pt idx="2">
                  <c:v>168.0</c:v>
                </c:pt>
                <c:pt idx="3">
                  <c:v>286.0</c:v>
                </c:pt>
                <c:pt idx="4">
                  <c:v>360.0</c:v>
                </c:pt>
                <c:pt idx="5">
                  <c:v>450.0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98B-B14A-836C-A28FD18189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4108680"/>
        <c:axId val="2091852344"/>
      </c:scatterChart>
      <c:valAx>
        <c:axId val="2094108680"/>
        <c:scaling>
          <c:orientation val="minMax"/>
          <c:max val="0.05"/>
          <c:min val="0.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/>
                  <a:t>Deflection (in.)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1852344"/>
        <c:crosses val="autoZero"/>
        <c:crossBetween val="midCat"/>
        <c:majorUnit val="0.01"/>
      </c:valAx>
      <c:valAx>
        <c:axId val="2091852344"/>
        <c:scaling>
          <c:orientation val="minMax"/>
          <c:max val="800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/>
                  <a:t>Load (lbs.)</a:t>
                </a:r>
              </a:p>
            </c:rich>
          </c:tx>
          <c:layout>
            <c:manualLayout>
              <c:xMode val="edge"/>
              <c:yMode val="edge"/>
              <c:x val="0.0"/>
              <c:y val="0.28589258432248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1086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3461775394829"/>
          <c:y val="0.407017820140903"/>
          <c:w val="0.325923803706864"/>
          <c:h val="0.259648570244509"/>
        </c:manualLayout>
      </c:layout>
      <c:overlay val="0"/>
      <c:spPr>
        <a:solidFill>
          <a:schemeClr val="bg1">
            <a:alpha val="2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1457916149434"/>
          <c:y val="0.044925242553636"/>
          <c:w val="0.748512816795484"/>
          <c:h val="0.744621511863256"/>
        </c:manualLayout>
      </c:layout>
      <c:scatterChart>
        <c:scatterStyle val="smoothMarker"/>
        <c:varyColors val="0"/>
        <c:ser>
          <c:idx val="0"/>
          <c:order val="0"/>
          <c:tx>
            <c:v>Unreinforced</c:v>
          </c:tx>
          <c:spPr>
            <a:ln w="730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Beams!$F$3:$F$8</c:f>
              <c:numCache>
                <c:formatCode>General</c:formatCode>
                <c:ptCount val="6"/>
                <c:pt idx="0">
                  <c:v>0.0</c:v>
                </c:pt>
                <c:pt idx="1">
                  <c:v>0.003</c:v>
                </c:pt>
                <c:pt idx="2">
                  <c:v>0.006</c:v>
                </c:pt>
                <c:pt idx="3">
                  <c:v>0.009</c:v>
                </c:pt>
                <c:pt idx="4">
                  <c:v>0.012</c:v>
                </c:pt>
                <c:pt idx="5">
                  <c:v>0.015</c:v>
                </c:pt>
              </c:numCache>
            </c:numRef>
          </c:xVal>
          <c:yVal>
            <c:numRef>
              <c:f>Beams!$G$3:$G$8</c:f>
              <c:numCache>
                <c:formatCode>General</c:formatCode>
                <c:ptCount val="6"/>
                <c:pt idx="0">
                  <c:v>0.0</c:v>
                </c:pt>
                <c:pt idx="1">
                  <c:v>89.0</c:v>
                </c:pt>
                <c:pt idx="2">
                  <c:v>168.0</c:v>
                </c:pt>
                <c:pt idx="3">
                  <c:v>286.0</c:v>
                </c:pt>
                <c:pt idx="4">
                  <c:v>360.0</c:v>
                </c:pt>
                <c:pt idx="5">
                  <c:v>450.0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F44-7F4E-A4A5-9C08DA06E8F5}"/>
            </c:ext>
          </c:extLst>
        </c:ser>
        <c:ser>
          <c:idx val="1"/>
          <c:order val="1"/>
          <c:tx>
            <c:v>Unreinforced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Beams!$F$3:$F$31</c:f>
              <c:numCache>
                <c:formatCode>General</c:formatCode>
                <c:ptCount val="29"/>
                <c:pt idx="0">
                  <c:v>0.0</c:v>
                </c:pt>
                <c:pt idx="1">
                  <c:v>0.003</c:v>
                </c:pt>
                <c:pt idx="2">
                  <c:v>0.006</c:v>
                </c:pt>
                <c:pt idx="3">
                  <c:v>0.009</c:v>
                </c:pt>
                <c:pt idx="4">
                  <c:v>0.012</c:v>
                </c:pt>
                <c:pt idx="5">
                  <c:v>0.015</c:v>
                </c:pt>
                <c:pt idx="6">
                  <c:v>0.02</c:v>
                </c:pt>
                <c:pt idx="7">
                  <c:v>0.025</c:v>
                </c:pt>
                <c:pt idx="8">
                  <c:v>0.025</c:v>
                </c:pt>
                <c:pt idx="9">
                  <c:v>0.03</c:v>
                </c:pt>
                <c:pt idx="10">
                  <c:v>0.035</c:v>
                </c:pt>
                <c:pt idx="11">
                  <c:v>0.04</c:v>
                </c:pt>
                <c:pt idx="12">
                  <c:v>0.045</c:v>
                </c:pt>
                <c:pt idx="13">
                  <c:v>0.05</c:v>
                </c:pt>
                <c:pt idx="14">
                  <c:v>0.055</c:v>
                </c:pt>
                <c:pt idx="15">
                  <c:v>0.06</c:v>
                </c:pt>
                <c:pt idx="16">
                  <c:v>0.065</c:v>
                </c:pt>
                <c:pt idx="17">
                  <c:v>0.07</c:v>
                </c:pt>
                <c:pt idx="18">
                  <c:v>0.075</c:v>
                </c:pt>
                <c:pt idx="19">
                  <c:v>0.08</c:v>
                </c:pt>
                <c:pt idx="20">
                  <c:v>0.085</c:v>
                </c:pt>
                <c:pt idx="21">
                  <c:v>0.095</c:v>
                </c:pt>
                <c:pt idx="22">
                  <c:v>0.12</c:v>
                </c:pt>
                <c:pt idx="23">
                  <c:v>0.15</c:v>
                </c:pt>
                <c:pt idx="24">
                  <c:v>0.2</c:v>
                </c:pt>
                <c:pt idx="25">
                  <c:v>0.3</c:v>
                </c:pt>
                <c:pt idx="26">
                  <c:v>0.4</c:v>
                </c:pt>
                <c:pt idx="27">
                  <c:v>0.5</c:v>
                </c:pt>
                <c:pt idx="28">
                  <c:v>0.8</c:v>
                </c:pt>
              </c:numCache>
            </c:numRef>
          </c:xVal>
          <c:yVal>
            <c:numRef>
              <c:f>Beams!$H$3:$H$31</c:f>
              <c:numCache>
                <c:formatCode>General</c:formatCode>
                <c:ptCount val="29"/>
                <c:pt idx="0">
                  <c:v>0.0</c:v>
                </c:pt>
                <c:pt idx="1">
                  <c:v>142.0</c:v>
                </c:pt>
                <c:pt idx="2">
                  <c:v>230.0</c:v>
                </c:pt>
                <c:pt idx="3">
                  <c:v>354.0</c:v>
                </c:pt>
                <c:pt idx="4">
                  <c:v>412.0</c:v>
                </c:pt>
                <c:pt idx="5">
                  <c:v>520.0</c:v>
                </c:pt>
                <c:pt idx="6">
                  <c:v>650.0</c:v>
                </c:pt>
                <c:pt idx="7">
                  <c:v>784.0</c:v>
                </c:pt>
                <c:pt idx="8">
                  <c:v>420.0</c:v>
                </c:pt>
                <c:pt idx="9">
                  <c:v>712.0</c:v>
                </c:pt>
                <c:pt idx="10">
                  <c:v>856.0</c:v>
                </c:pt>
                <c:pt idx="11">
                  <c:v>1030.0</c:v>
                </c:pt>
                <c:pt idx="12">
                  <c:v>1185.0</c:v>
                </c:pt>
                <c:pt idx="13">
                  <c:v>1363.0</c:v>
                </c:pt>
                <c:pt idx="14">
                  <c:v>1489.0</c:v>
                </c:pt>
                <c:pt idx="15">
                  <c:v>1648.0</c:v>
                </c:pt>
                <c:pt idx="16">
                  <c:v>1778.0</c:v>
                </c:pt>
                <c:pt idx="17">
                  <c:v>1950.0</c:v>
                </c:pt>
                <c:pt idx="18">
                  <c:v>2090.0</c:v>
                </c:pt>
                <c:pt idx="19">
                  <c:v>2230.0</c:v>
                </c:pt>
                <c:pt idx="20">
                  <c:v>2323.0</c:v>
                </c:pt>
                <c:pt idx="21">
                  <c:v>2525.0</c:v>
                </c:pt>
                <c:pt idx="22">
                  <c:v>2700.0</c:v>
                </c:pt>
                <c:pt idx="23">
                  <c:v>2900.0</c:v>
                </c:pt>
                <c:pt idx="24">
                  <c:v>3100.0</c:v>
                </c:pt>
                <c:pt idx="25">
                  <c:v>3300.0</c:v>
                </c:pt>
                <c:pt idx="26">
                  <c:v>3400.0</c:v>
                </c:pt>
                <c:pt idx="27">
                  <c:v>3450.0</c:v>
                </c:pt>
                <c:pt idx="28">
                  <c:v>3500.0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F44-7F4E-A4A5-9C08DA06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42502504"/>
        <c:axId val="2029713672"/>
      </c:scatterChart>
      <c:valAx>
        <c:axId val="-2142502504"/>
        <c:scaling>
          <c:orientation val="minMax"/>
          <c:max val="0.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/>
                  <a:t>Deflection (in.)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9713672"/>
        <c:crosses val="autoZero"/>
        <c:crossBetween val="midCat"/>
        <c:majorUnit val="0.1"/>
        <c:minorUnit val="0.1"/>
      </c:valAx>
      <c:valAx>
        <c:axId val="2029713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/>
                  <a:t>Load (lbs.)</a:t>
                </a:r>
              </a:p>
            </c:rich>
          </c:tx>
          <c:layout>
            <c:manualLayout>
              <c:xMode val="edge"/>
              <c:yMode val="edge"/>
              <c:x val="0.0"/>
              <c:y val="0.28589258432248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425025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6017958917391"/>
          <c:y val="0.450662958175004"/>
          <c:w val="0.220584495536268"/>
          <c:h val="0.111941081991617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Macintosh Word</Application>
  <DocSecurity>0</DocSecurity>
  <Lines>1</Lines>
  <Paragraphs>1</Paragraphs>
  <ScaleCrop>false</ScaleCrop>
  <Company>Journal of Visualized Experiments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Vladescu</dc:creator>
  <cp:keywords/>
  <dc:description/>
  <cp:lastModifiedBy>Ioana Vladescu</cp:lastModifiedBy>
  <cp:revision>2</cp:revision>
  <dcterms:created xsi:type="dcterms:W3CDTF">2018-06-01T13:40:00Z</dcterms:created>
  <dcterms:modified xsi:type="dcterms:W3CDTF">2018-06-01T14:01:00Z</dcterms:modified>
</cp:coreProperties>
</file>