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15F72" w14:textId="3079A95E" w:rsidR="0074494A" w:rsidRDefault="00B91EAC" w:rsidP="008D00CF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466338F7" wp14:editId="35C3D83F">
            <wp:extent cx="5943600" cy="35344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Fig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2339" w14:textId="77777777" w:rsidR="00681F8D" w:rsidRDefault="00681F8D" w:rsidP="008D00CF">
      <w:pPr>
        <w:jc w:val="center"/>
        <w:rPr>
          <w:i/>
        </w:rPr>
      </w:pPr>
    </w:p>
    <w:p w14:paraId="618723C9" w14:textId="77777777" w:rsidR="00681F8D" w:rsidRDefault="00681F8D" w:rsidP="008D00CF">
      <w:pPr>
        <w:jc w:val="center"/>
        <w:rPr>
          <w:i/>
        </w:rPr>
      </w:pPr>
    </w:p>
    <w:p w14:paraId="1874CD62" w14:textId="77777777" w:rsidR="00681F8D" w:rsidRDefault="00681F8D" w:rsidP="008D00CF">
      <w:pPr>
        <w:jc w:val="center"/>
        <w:rPr>
          <w:i/>
        </w:rPr>
      </w:pPr>
    </w:p>
    <w:p w14:paraId="68CB0587" w14:textId="488C42FF" w:rsidR="00681F8D" w:rsidRPr="009D75AF" w:rsidRDefault="00681F8D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="Times" w:hAnsi="Times"/>
          <w:i/>
          <w:sz w:val="24"/>
          <w:szCs w:val="24"/>
        </w:rPr>
      </w:pPr>
      <w:r w:rsidRPr="009D75AF">
        <w:rPr>
          <w:rFonts w:ascii="Times" w:hAnsi="Times"/>
          <w:i/>
          <w:sz w:val="24"/>
          <w:szCs w:val="24"/>
        </w:rPr>
        <w:t xml:space="preserve">Figure 1 – Interface transition zone (adapted from Mehta, P.K. and </w:t>
      </w:r>
      <w:proofErr w:type="spellStart"/>
      <w:r w:rsidRPr="009D75AF">
        <w:rPr>
          <w:rFonts w:ascii="Times" w:hAnsi="Times"/>
          <w:i/>
          <w:sz w:val="24"/>
          <w:szCs w:val="24"/>
        </w:rPr>
        <w:t>Monterio</w:t>
      </w:r>
      <w:proofErr w:type="spellEnd"/>
      <w:r w:rsidRPr="009D75AF">
        <w:rPr>
          <w:rFonts w:ascii="Times" w:hAnsi="Times"/>
          <w:i/>
          <w:sz w:val="24"/>
          <w:szCs w:val="24"/>
        </w:rPr>
        <w:t>, P.J.M., Concrete: Structure, properties and Materials, 2</w:t>
      </w:r>
      <w:r w:rsidRPr="009D75AF">
        <w:rPr>
          <w:rFonts w:ascii="Times" w:hAnsi="Times"/>
          <w:i/>
          <w:sz w:val="24"/>
          <w:szCs w:val="24"/>
          <w:vertAlign w:val="superscript"/>
        </w:rPr>
        <w:t>nd</w:t>
      </w:r>
      <w:r w:rsidR="009D75AF">
        <w:rPr>
          <w:rFonts w:ascii="Times" w:hAnsi="Times"/>
          <w:i/>
          <w:sz w:val="24"/>
          <w:szCs w:val="24"/>
        </w:rPr>
        <w:t xml:space="preserve"> Ed., Prentice </w:t>
      </w:r>
      <w:r w:rsidR="009D75AF" w:rsidRPr="009D75AF">
        <w:rPr>
          <w:rFonts w:ascii="Times" w:hAnsi="Times"/>
          <w:i/>
          <w:sz w:val="24"/>
          <w:szCs w:val="24"/>
        </w:rPr>
        <w:t>Hall, 1993)</w:t>
      </w:r>
    </w:p>
    <w:p w14:paraId="4B0DAEE7" w14:textId="77777777" w:rsidR="00681F8D" w:rsidRDefault="00681F8D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Theme="minorHAnsi" w:hAnsiTheme="minorHAnsi"/>
          <w:i/>
          <w:sz w:val="24"/>
          <w:szCs w:val="24"/>
        </w:rPr>
      </w:pPr>
    </w:p>
    <w:p w14:paraId="66FBBE77" w14:textId="56D8A0AF" w:rsidR="006D2861" w:rsidRDefault="006D2861">
      <w:pPr>
        <w:rPr>
          <w:rFonts w:eastAsia="Times New Roman" w:cs="Times New Roman"/>
          <w:i/>
          <w:lang w:eastAsia="ko-KR"/>
        </w:rPr>
      </w:pPr>
      <w:r>
        <w:rPr>
          <w:i/>
        </w:rPr>
        <w:br w:type="page"/>
      </w:r>
    </w:p>
    <w:p w14:paraId="4F99495E" w14:textId="77777777" w:rsidR="00681F8D" w:rsidRDefault="00681F8D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Theme="minorHAnsi" w:hAnsiTheme="minorHAnsi"/>
          <w:i/>
          <w:sz w:val="24"/>
          <w:szCs w:val="24"/>
        </w:rPr>
      </w:pPr>
    </w:p>
    <w:p w14:paraId="46A07549" w14:textId="77777777" w:rsidR="006D2861" w:rsidRDefault="006D2861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Theme="minorHAnsi" w:hAnsiTheme="minorHAnsi"/>
          <w:i/>
          <w:sz w:val="24"/>
          <w:szCs w:val="24"/>
        </w:rPr>
      </w:pPr>
    </w:p>
    <w:p w14:paraId="14C05F11" w14:textId="26C0E11C" w:rsidR="006D2861" w:rsidRDefault="00B91EAC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noProof/>
          <w:sz w:val="24"/>
          <w:szCs w:val="24"/>
          <w:lang w:eastAsia="en-US"/>
        </w:rPr>
        <w:drawing>
          <wp:inline distT="0" distB="0" distL="0" distR="0" wp14:anchorId="5088BC7F" wp14:editId="60989F95">
            <wp:extent cx="3720465" cy="4133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-Fig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716" cy="41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D815" w14:textId="77777777" w:rsidR="006D2861" w:rsidRDefault="006D2861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Theme="minorHAnsi" w:hAnsiTheme="minorHAnsi"/>
          <w:i/>
          <w:sz w:val="24"/>
          <w:szCs w:val="24"/>
        </w:rPr>
      </w:pPr>
    </w:p>
    <w:p w14:paraId="686D6D5A" w14:textId="5F2633DE" w:rsidR="006D2861" w:rsidRPr="009D75AF" w:rsidRDefault="006D2861" w:rsidP="00681F8D">
      <w:pPr>
        <w:pStyle w:val="BodyText"/>
        <w:tabs>
          <w:tab w:val="left" w:pos="90"/>
        </w:tabs>
        <w:spacing w:after="120"/>
        <w:ind w:right="706"/>
        <w:jc w:val="center"/>
        <w:rPr>
          <w:rFonts w:ascii="Times" w:hAnsi="Times"/>
          <w:i/>
          <w:sz w:val="24"/>
          <w:szCs w:val="24"/>
        </w:rPr>
      </w:pPr>
      <w:r w:rsidRPr="009D75AF">
        <w:rPr>
          <w:rFonts w:ascii="Times" w:hAnsi="Times"/>
          <w:i/>
          <w:sz w:val="24"/>
          <w:szCs w:val="24"/>
        </w:rPr>
        <w:t xml:space="preserve">Figure 2 – Idealization </w:t>
      </w:r>
      <w:r w:rsidR="00BD79A5" w:rsidRPr="009D75AF">
        <w:rPr>
          <w:rFonts w:ascii="Times" w:hAnsi="Times"/>
          <w:i/>
          <w:sz w:val="24"/>
          <w:szCs w:val="24"/>
        </w:rPr>
        <w:t xml:space="preserve">of the state of stress around </w:t>
      </w:r>
      <w:r w:rsidRPr="009D75AF">
        <w:rPr>
          <w:rFonts w:ascii="Times" w:hAnsi="Times"/>
          <w:i/>
          <w:sz w:val="24"/>
          <w:szCs w:val="24"/>
        </w:rPr>
        <w:t>aggregate particle</w:t>
      </w:r>
      <w:r w:rsidR="009D75AF">
        <w:rPr>
          <w:rFonts w:ascii="Times" w:hAnsi="Times"/>
          <w:i/>
          <w:sz w:val="24"/>
          <w:szCs w:val="24"/>
        </w:rPr>
        <w:t>s</w:t>
      </w:r>
      <w:r w:rsidRPr="009D75AF">
        <w:rPr>
          <w:rFonts w:ascii="Times" w:hAnsi="Times"/>
          <w:i/>
          <w:sz w:val="24"/>
          <w:szCs w:val="24"/>
        </w:rPr>
        <w:t xml:space="preserve"> (adapted from </w:t>
      </w:r>
      <w:proofErr w:type="spellStart"/>
      <w:r w:rsidRPr="009D75AF">
        <w:rPr>
          <w:rFonts w:ascii="Times" w:hAnsi="Times"/>
          <w:i/>
          <w:sz w:val="24"/>
          <w:szCs w:val="24"/>
        </w:rPr>
        <w:t>Mindess</w:t>
      </w:r>
      <w:proofErr w:type="spellEnd"/>
      <w:r w:rsidRPr="009D75AF">
        <w:rPr>
          <w:rFonts w:ascii="Times" w:hAnsi="Times"/>
          <w:i/>
          <w:sz w:val="24"/>
          <w:szCs w:val="24"/>
        </w:rPr>
        <w:t>, S., Young, F.J., and Darwin, D., Concrete, 2</w:t>
      </w:r>
      <w:r w:rsidRPr="009D75AF">
        <w:rPr>
          <w:rFonts w:ascii="Times" w:hAnsi="Times"/>
          <w:i/>
          <w:sz w:val="24"/>
          <w:szCs w:val="24"/>
          <w:vertAlign w:val="superscript"/>
        </w:rPr>
        <w:t>nd</w:t>
      </w:r>
      <w:r w:rsidR="009D75AF">
        <w:rPr>
          <w:rFonts w:ascii="Times" w:hAnsi="Times"/>
          <w:i/>
          <w:sz w:val="24"/>
          <w:szCs w:val="24"/>
        </w:rPr>
        <w:t xml:space="preserve"> Ed., P</w:t>
      </w:r>
      <w:r w:rsidRPr="009D75AF">
        <w:rPr>
          <w:rFonts w:ascii="Times" w:hAnsi="Times"/>
          <w:i/>
          <w:sz w:val="24"/>
          <w:szCs w:val="24"/>
        </w:rPr>
        <w:t>rentice Hall, 2003)</w:t>
      </w:r>
    </w:p>
    <w:p w14:paraId="53F7E9A3" w14:textId="77777777" w:rsidR="00681F8D" w:rsidRPr="008D00CF" w:rsidRDefault="00681F8D" w:rsidP="008D00CF">
      <w:pPr>
        <w:jc w:val="center"/>
        <w:rPr>
          <w:i/>
        </w:rPr>
      </w:pPr>
    </w:p>
    <w:p w14:paraId="477783DC" w14:textId="77777777" w:rsidR="0074494A" w:rsidRDefault="0074494A" w:rsidP="00CD321A"/>
    <w:p w14:paraId="5DE5E231" w14:textId="21E997EC" w:rsidR="0074494A" w:rsidRDefault="00B91EAC" w:rsidP="00973ACB">
      <w:pPr>
        <w:jc w:val="center"/>
      </w:pPr>
      <w:r>
        <w:rPr>
          <w:noProof/>
        </w:rPr>
        <w:drawing>
          <wp:inline distT="0" distB="0" distL="0" distR="0" wp14:anchorId="1975F727" wp14:editId="571F064D">
            <wp:extent cx="3377565" cy="2511162"/>
            <wp:effectExtent l="0" t="0" r="63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-Fig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906" cy="25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64E4" w14:textId="77777777" w:rsidR="0074494A" w:rsidRDefault="0074494A" w:rsidP="00CD321A"/>
    <w:p w14:paraId="1D7069CC" w14:textId="3AD5BD18" w:rsidR="0074494A" w:rsidRPr="009D75AF" w:rsidRDefault="0074494A" w:rsidP="0074494A">
      <w:pPr>
        <w:pStyle w:val="BodyText"/>
        <w:tabs>
          <w:tab w:val="left" w:pos="90"/>
        </w:tabs>
        <w:spacing w:after="120"/>
        <w:ind w:right="712"/>
        <w:jc w:val="center"/>
        <w:rPr>
          <w:rFonts w:ascii="Times" w:hAnsi="Times"/>
          <w:i/>
          <w:sz w:val="24"/>
          <w:szCs w:val="24"/>
        </w:rPr>
      </w:pPr>
      <w:r w:rsidRPr="009D75AF">
        <w:rPr>
          <w:rFonts w:ascii="Times" w:hAnsi="Times"/>
          <w:i/>
          <w:sz w:val="24"/>
          <w:szCs w:val="24"/>
        </w:rPr>
        <w:t xml:space="preserve">Figure </w:t>
      </w:r>
      <w:r w:rsidR="004208A1" w:rsidRPr="009D75AF">
        <w:rPr>
          <w:rFonts w:ascii="Times" w:hAnsi="Times"/>
          <w:i/>
          <w:sz w:val="24"/>
          <w:szCs w:val="24"/>
        </w:rPr>
        <w:t>3</w:t>
      </w:r>
      <w:r w:rsidRPr="009D75AF">
        <w:rPr>
          <w:rFonts w:ascii="Times" w:hAnsi="Times"/>
          <w:i/>
          <w:sz w:val="24"/>
          <w:szCs w:val="24"/>
        </w:rPr>
        <w:t xml:space="preserve"> – Stress distribution over the diameter of a</w:t>
      </w:r>
      <w:r w:rsidR="006B411D" w:rsidRPr="009D75AF">
        <w:rPr>
          <w:rFonts w:ascii="Times" w:hAnsi="Times"/>
          <w:i/>
          <w:sz w:val="24"/>
          <w:szCs w:val="24"/>
        </w:rPr>
        <w:t xml:space="preserve"> cylinder loaded in compression</w:t>
      </w:r>
      <w:r w:rsidR="00BD79A5" w:rsidRPr="009D75AF">
        <w:rPr>
          <w:rFonts w:ascii="Times" w:hAnsi="Times"/>
          <w:i/>
          <w:sz w:val="24"/>
          <w:szCs w:val="24"/>
        </w:rPr>
        <w:t xml:space="preserve"> (adapted from </w:t>
      </w:r>
      <w:proofErr w:type="spellStart"/>
      <w:r w:rsidR="00BD79A5" w:rsidRPr="009D75AF">
        <w:rPr>
          <w:rFonts w:ascii="Times" w:hAnsi="Times"/>
          <w:i/>
          <w:sz w:val="24"/>
          <w:szCs w:val="24"/>
        </w:rPr>
        <w:t>Mindess</w:t>
      </w:r>
      <w:proofErr w:type="spellEnd"/>
      <w:r w:rsidR="00BD79A5" w:rsidRPr="009D75AF">
        <w:rPr>
          <w:rFonts w:ascii="Times" w:hAnsi="Times"/>
          <w:i/>
          <w:sz w:val="24"/>
          <w:szCs w:val="24"/>
        </w:rPr>
        <w:t>, S., Young, F.J., and Darwin, D., Concrete, 2</w:t>
      </w:r>
      <w:r w:rsidR="00BD79A5" w:rsidRPr="009D75AF">
        <w:rPr>
          <w:rFonts w:ascii="Times" w:hAnsi="Times"/>
          <w:i/>
          <w:sz w:val="24"/>
          <w:szCs w:val="24"/>
          <w:vertAlign w:val="superscript"/>
        </w:rPr>
        <w:t>nd</w:t>
      </w:r>
      <w:r w:rsidR="009D75AF">
        <w:rPr>
          <w:rFonts w:ascii="Times" w:hAnsi="Times"/>
          <w:i/>
          <w:sz w:val="24"/>
          <w:szCs w:val="24"/>
        </w:rPr>
        <w:t xml:space="preserve"> Ed., P</w:t>
      </w:r>
      <w:r w:rsidR="00BD79A5" w:rsidRPr="009D75AF">
        <w:rPr>
          <w:rFonts w:ascii="Times" w:hAnsi="Times"/>
          <w:i/>
          <w:sz w:val="24"/>
          <w:szCs w:val="24"/>
        </w:rPr>
        <w:t>rentice Hall, 2003)</w:t>
      </w:r>
    </w:p>
    <w:p w14:paraId="03E258AC" w14:textId="77777777" w:rsidR="0074494A" w:rsidRPr="004208A1" w:rsidRDefault="0074494A" w:rsidP="00CD321A"/>
    <w:p w14:paraId="4F0A7AE5" w14:textId="77777777" w:rsidR="0074494A" w:rsidRDefault="0074494A" w:rsidP="00CD321A"/>
    <w:p w14:paraId="597CEDBA" w14:textId="2D28F321" w:rsidR="00FF756F" w:rsidRDefault="0074494A">
      <w:r>
        <w:br w:type="page"/>
      </w:r>
    </w:p>
    <w:p w14:paraId="41294620" w14:textId="77777777" w:rsidR="00BD79A5" w:rsidRDefault="00BD79A5"/>
    <w:p w14:paraId="55B54620" w14:textId="77777777" w:rsidR="00BD79A5" w:rsidRDefault="00BD79A5"/>
    <w:p w14:paraId="26500A8D" w14:textId="77777777" w:rsidR="00BD79A5" w:rsidRDefault="00BD79A5"/>
    <w:p w14:paraId="67B18BAD" w14:textId="6471D69B" w:rsidR="00BD79A5" w:rsidRDefault="00B91EAC" w:rsidP="00DF6F15">
      <w:pPr>
        <w:jc w:val="center"/>
      </w:pPr>
      <w:r>
        <w:rPr>
          <w:noProof/>
        </w:rPr>
        <w:drawing>
          <wp:inline distT="0" distB="0" distL="0" distR="0" wp14:anchorId="7E42F0DD" wp14:editId="177FEBA9">
            <wp:extent cx="4942205" cy="2784654"/>
            <wp:effectExtent l="0" t="0" r="1079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Fig.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758" r="2985" b="2426"/>
                    <a:stretch/>
                  </pic:blipFill>
                  <pic:spPr bwMode="auto">
                    <a:xfrm>
                      <a:off x="0" y="0"/>
                      <a:ext cx="4955900" cy="27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F4097" w14:textId="77777777" w:rsidR="00BD79A5" w:rsidRDefault="00BD79A5">
      <w:pPr>
        <w:rPr>
          <w:i/>
        </w:rPr>
      </w:pPr>
    </w:p>
    <w:p w14:paraId="5D1BCF96" w14:textId="524D3756" w:rsidR="00BD79A5" w:rsidRPr="009D75AF" w:rsidRDefault="00BD79A5" w:rsidP="00BD79A5">
      <w:pPr>
        <w:jc w:val="center"/>
        <w:rPr>
          <w:rFonts w:ascii="Times" w:hAnsi="Times"/>
          <w:i/>
        </w:rPr>
      </w:pPr>
      <w:r w:rsidRPr="009D75AF">
        <w:rPr>
          <w:rFonts w:ascii="Times" w:hAnsi="Times"/>
          <w:i/>
        </w:rPr>
        <w:t xml:space="preserve">Figure 4 – Typical beam test configuration for determining tensile capacity of concrete (adapted from Mehta, P.K. and </w:t>
      </w:r>
      <w:proofErr w:type="spellStart"/>
      <w:r w:rsidRPr="009D75AF">
        <w:rPr>
          <w:rFonts w:ascii="Times" w:hAnsi="Times"/>
          <w:i/>
        </w:rPr>
        <w:t>Monterio</w:t>
      </w:r>
      <w:proofErr w:type="spellEnd"/>
      <w:r w:rsidRPr="009D75AF">
        <w:rPr>
          <w:rFonts w:ascii="Times" w:hAnsi="Times"/>
          <w:i/>
        </w:rPr>
        <w:t>, P.J.M., Concrete: Structure, properties and Materials, 2</w:t>
      </w:r>
      <w:r w:rsidRPr="009D75AF">
        <w:rPr>
          <w:rFonts w:ascii="Times" w:hAnsi="Times"/>
          <w:i/>
          <w:vertAlign w:val="superscript"/>
        </w:rPr>
        <w:t>nd</w:t>
      </w:r>
      <w:r w:rsidRPr="009D75AF">
        <w:rPr>
          <w:rFonts w:ascii="Times" w:hAnsi="Times"/>
          <w:i/>
        </w:rPr>
        <w:t xml:space="preserve"> Ed., Prentice-Hall, 1993</w:t>
      </w:r>
      <w:r w:rsidR="009D75AF" w:rsidRPr="009D75AF">
        <w:rPr>
          <w:rFonts w:ascii="Times" w:hAnsi="Times"/>
          <w:i/>
        </w:rPr>
        <w:t>)</w:t>
      </w:r>
    </w:p>
    <w:p w14:paraId="4C00CEAC" w14:textId="77777777" w:rsidR="00BD79A5" w:rsidRDefault="00BD79A5" w:rsidP="00BD79A5">
      <w:pPr>
        <w:jc w:val="center"/>
        <w:rPr>
          <w:i/>
        </w:rPr>
      </w:pPr>
    </w:p>
    <w:p w14:paraId="56056743" w14:textId="77777777" w:rsidR="00BD79A5" w:rsidRDefault="00BD79A5" w:rsidP="00BD79A5">
      <w:pPr>
        <w:jc w:val="center"/>
        <w:rPr>
          <w:i/>
        </w:rPr>
      </w:pPr>
    </w:p>
    <w:p w14:paraId="285759D2" w14:textId="77777777" w:rsidR="00BD79A5" w:rsidRDefault="00BD79A5" w:rsidP="00BD79A5">
      <w:pPr>
        <w:jc w:val="center"/>
        <w:rPr>
          <w:i/>
        </w:rPr>
      </w:pPr>
    </w:p>
    <w:p w14:paraId="3A1D9705" w14:textId="77777777" w:rsidR="00BD79A5" w:rsidRDefault="00BD79A5" w:rsidP="00BD79A5">
      <w:pPr>
        <w:jc w:val="center"/>
        <w:rPr>
          <w:i/>
        </w:rPr>
      </w:pPr>
    </w:p>
    <w:p w14:paraId="14FC344B" w14:textId="77777777" w:rsidR="00BD79A5" w:rsidRDefault="00BD79A5">
      <w:pPr>
        <w:rPr>
          <w:i/>
        </w:rPr>
      </w:pPr>
      <w:r>
        <w:rPr>
          <w:i/>
        </w:rPr>
        <w:br w:type="page"/>
      </w:r>
    </w:p>
    <w:p w14:paraId="2A6EEBA7" w14:textId="77777777" w:rsidR="00BD79A5" w:rsidRDefault="00BD79A5" w:rsidP="00BD79A5">
      <w:pPr>
        <w:jc w:val="center"/>
        <w:rPr>
          <w:i/>
        </w:rPr>
      </w:pPr>
    </w:p>
    <w:p w14:paraId="7C53274D" w14:textId="77777777" w:rsidR="00BD79A5" w:rsidRDefault="00BD79A5" w:rsidP="00BD79A5">
      <w:pPr>
        <w:jc w:val="center"/>
        <w:rPr>
          <w:i/>
        </w:rPr>
      </w:pPr>
    </w:p>
    <w:p w14:paraId="1D17B9AC" w14:textId="77777777" w:rsidR="00BD79A5" w:rsidRDefault="00BD79A5" w:rsidP="00BD79A5">
      <w:pPr>
        <w:jc w:val="center"/>
        <w:rPr>
          <w:i/>
        </w:rPr>
      </w:pPr>
    </w:p>
    <w:p w14:paraId="116F238A" w14:textId="77777777" w:rsidR="00BD79A5" w:rsidRDefault="00BD79A5" w:rsidP="00BD79A5">
      <w:pPr>
        <w:jc w:val="center"/>
        <w:rPr>
          <w:i/>
        </w:rPr>
      </w:pPr>
    </w:p>
    <w:p w14:paraId="6FB31DC7" w14:textId="784975DE" w:rsidR="00BD79A5" w:rsidRDefault="00DF6F15" w:rsidP="00BD79A5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53BB5F8" wp14:editId="10AC67C4">
            <wp:extent cx="5943600" cy="3288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-Fig.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5C63" w14:textId="77777777" w:rsidR="0001075B" w:rsidRDefault="0001075B" w:rsidP="00BD79A5">
      <w:pPr>
        <w:jc w:val="center"/>
        <w:rPr>
          <w:rFonts w:cs="Times New Roman"/>
          <w:i/>
          <w:sz w:val="22"/>
          <w:szCs w:val="22"/>
        </w:rPr>
      </w:pPr>
    </w:p>
    <w:p w14:paraId="458A416C" w14:textId="6F650748" w:rsidR="00BD79A5" w:rsidRPr="009D75AF" w:rsidRDefault="00BD79A5" w:rsidP="00BD79A5">
      <w:pPr>
        <w:jc w:val="center"/>
        <w:rPr>
          <w:rFonts w:ascii="Times" w:hAnsi="Times" w:cs="Times New Roman"/>
          <w:i/>
          <w:szCs w:val="22"/>
        </w:rPr>
      </w:pPr>
      <w:r w:rsidRPr="009D75AF">
        <w:rPr>
          <w:rFonts w:ascii="Times" w:hAnsi="Times" w:cs="Times New Roman"/>
          <w:i/>
          <w:szCs w:val="22"/>
        </w:rPr>
        <w:t>Figure 5 – Typical r</w:t>
      </w:r>
      <w:r w:rsidR="009D75AF" w:rsidRPr="009D75AF">
        <w:rPr>
          <w:rFonts w:ascii="Times" w:hAnsi="Times" w:cs="Times New Roman"/>
          <w:i/>
          <w:szCs w:val="22"/>
        </w:rPr>
        <w:t>einforcement in a concrete beam</w:t>
      </w:r>
    </w:p>
    <w:p w14:paraId="0D33E254" w14:textId="1C376A78" w:rsidR="00BD79A5" w:rsidRDefault="00BD79A5" w:rsidP="00BD79A5">
      <w:pPr>
        <w:jc w:val="center"/>
      </w:pPr>
      <w:r>
        <w:rPr>
          <w:i/>
        </w:rPr>
        <w:t>.</w:t>
      </w:r>
      <w:r>
        <w:br w:type="page"/>
      </w:r>
    </w:p>
    <w:p w14:paraId="594F6B12" w14:textId="77777777" w:rsidR="00FF756F" w:rsidRDefault="00FF756F"/>
    <w:p w14:paraId="56CB647C" w14:textId="77777777" w:rsidR="00FF756F" w:rsidRDefault="00FF756F"/>
    <w:p w14:paraId="53DAC5CF" w14:textId="3AF8B767" w:rsidR="00FF756F" w:rsidRDefault="00B91EAC" w:rsidP="00FF756F">
      <w:pPr>
        <w:jc w:val="center"/>
      </w:pPr>
      <w:r>
        <w:rPr>
          <w:noProof/>
        </w:rPr>
        <w:drawing>
          <wp:inline distT="0" distB="0" distL="0" distR="0" wp14:anchorId="72A0B62B" wp14:editId="30489D69">
            <wp:extent cx="3251835" cy="278872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-Fig.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73" cy="28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A7CF" w14:textId="77777777" w:rsidR="00FF756F" w:rsidRDefault="00FF756F" w:rsidP="00FF756F">
      <w:pPr>
        <w:jc w:val="center"/>
      </w:pPr>
    </w:p>
    <w:p w14:paraId="21743215" w14:textId="75997AA4" w:rsidR="00FF756F" w:rsidRPr="009D75AF" w:rsidRDefault="00FF756F" w:rsidP="00FF756F">
      <w:pPr>
        <w:jc w:val="center"/>
        <w:rPr>
          <w:rFonts w:ascii="Times" w:hAnsi="Times"/>
        </w:rPr>
      </w:pPr>
      <w:r w:rsidRPr="009D75AF">
        <w:rPr>
          <w:rFonts w:ascii="Times" w:hAnsi="Times" w:cs="Times New Roman"/>
          <w:i/>
        </w:rPr>
        <w:t xml:space="preserve">Figure </w:t>
      </w:r>
      <w:r w:rsidR="00BD79A5" w:rsidRPr="009D75AF">
        <w:rPr>
          <w:rFonts w:ascii="Times" w:hAnsi="Times" w:cs="Times New Roman"/>
          <w:i/>
        </w:rPr>
        <w:t>6</w:t>
      </w:r>
      <w:r w:rsidRPr="009D75AF">
        <w:rPr>
          <w:rFonts w:ascii="Times" w:hAnsi="Times" w:cs="Times New Roman"/>
          <w:i/>
        </w:rPr>
        <w:t xml:space="preserve"> – Placement of specimen for split tension test</w:t>
      </w:r>
      <w:r w:rsidR="00BD79A5" w:rsidRPr="009D75AF">
        <w:rPr>
          <w:rFonts w:ascii="Times" w:hAnsi="Times" w:cs="Times New Roman"/>
          <w:i/>
        </w:rPr>
        <w:t xml:space="preserve"> </w:t>
      </w:r>
      <w:r w:rsidR="00BD79A5" w:rsidRPr="009D75AF">
        <w:rPr>
          <w:rFonts w:ascii="Times" w:hAnsi="Times"/>
          <w:i/>
        </w:rPr>
        <w:t xml:space="preserve">(adapted from Mehta, P.K. and </w:t>
      </w:r>
      <w:proofErr w:type="spellStart"/>
      <w:r w:rsidR="00BD79A5" w:rsidRPr="009D75AF">
        <w:rPr>
          <w:rFonts w:ascii="Times" w:hAnsi="Times"/>
          <w:i/>
        </w:rPr>
        <w:t>Monterio</w:t>
      </w:r>
      <w:proofErr w:type="spellEnd"/>
      <w:r w:rsidR="00BD79A5" w:rsidRPr="009D75AF">
        <w:rPr>
          <w:rFonts w:ascii="Times" w:hAnsi="Times"/>
          <w:i/>
        </w:rPr>
        <w:t>, P.J.M., Concrete: Structure, properties and Materials, 2</w:t>
      </w:r>
      <w:r w:rsidR="00BD79A5" w:rsidRPr="009D75AF">
        <w:rPr>
          <w:rFonts w:ascii="Times" w:hAnsi="Times"/>
          <w:i/>
          <w:vertAlign w:val="superscript"/>
        </w:rPr>
        <w:t>nd</w:t>
      </w:r>
      <w:r w:rsidR="00BD79A5" w:rsidRPr="009D75AF">
        <w:rPr>
          <w:rFonts w:ascii="Times" w:hAnsi="Times"/>
          <w:i/>
        </w:rPr>
        <w:t xml:space="preserve"> Ed., Prentice-Hall, 1993)</w:t>
      </w:r>
    </w:p>
    <w:p w14:paraId="0AE36B19" w14:textId="77777777" w:rsidR="00FF756F" w:rsidRPr="009D75AF" w:rsidRDefault="00FF756F">
      <w:pPr>
        <w:rPr>
          <w:rFonts w:ascii="Times" w:hAnsi="Times"/>
        </w:rPr>
      </w:pPr>
    </w:p>
    <w:p w14:paraId="3E3A21DB" w14:textId="77777777" w:rsidR="00BD79A5" w:rsidRDefault="00BD79A5"/>
    <w:p w14:paraId="4C86828C" w14:textId="714D35E9" w:rsidR="00BD79A5" w:rsidRDefault="00BD79A5">
      <w:r>
        <w:br w:type="page"/>
      </w:r>
    </w:p>
    <w:p w14:paraId="5BB98F22" w14:textId="77777777" w:rsidR="00BD79A5" w:rsidRDefault="00BD79A5"/>
    <w:p w14:paraId="78B4E3B0" w14:textId="77777777" w:rsidR="00BD79A5" w:rsidRDefault="00BD79A5"/>
    <w:p w14:paraId="4E8FDD0F" w14:textId="21A943CE" w:rsidR="00BD79A5" w:rsidRPr="00BD79A5" w:rsidRDefault="00BD79A5" w:rsidP="0001075B">
      <w:pPr>
        <w:jc w:val="center"/>
        <w:rPr>
          <w:b/>
        </w:rPr>
      </w:pPr>
      <w:r w:rsidRPr="00BD79A5">
        <w:rPr>
          <w:b/>
          <w:noProof/>
        </w:rPr>
        <w:drawing>
          <wp:inline distT="0" distB="0" distL="0" distR="0" wp14:anchorId="759AF406" wp14:editId="4B443413">
            <wp:extent cx="4318635" cy="4403038"/>
            <wp:effectExtent l="0" t="0" r="0" b="0"/>
            <wp:docPr id="3" name="Picture 5" descr="Scatter in tensile strength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Scatter in tensile strength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92" cy="44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5C6E7" w14:textId="77777777" w:rsidR="00BD79A5" w:rsidRDefault="00BD79A5"/>
    <w:p w14:paraId="010D00E8" w14:textId="11D53B96" w:rsidR="0001075B" w:rsidRPr="009D75AF" w:rsidRDefault="0001075B" w:rsidP="0001075B">
      <w:pPr>
        <w:jc w:val="center"/>
        <w:rPr>
          <w:rFonts w:ascii="Times" w:hAnsi="Times" w:cs="Times New Roman"/>
          <w:i/>
          <w:sz w:val="22"/>
          <w:szCs w:val="22"/>
        </w:rPr>
      </w:pPr>
      <w:r w:rsidRPr="009D75AF">
        <w:rPr>
          <w:rFonts w:ascii="Times" w:hAnsi="Times" w:cs="Times New Roman"/>
          <w:i/>
          <w:szCs w:val="22"/>
        </w:rPr>
        <w:t>Figure 7 – Scatter in tensile strength results from beam tests as a function of compressive strength</w:t>
      </w:r>
    </w:p>
    <w:p w14:paraId="3A1A0CFA" w14:textId="77777777" w:rsidR="0001075B" w:rsidRDefault="0001075B" w:rsidP="0001075B">
      <w:pPr>
        <w:jc w:val="center"/>
        <w:rPr>
          <w:rFonts w:cs="Times New Roman"/>
          <w:i/>
          <w:sz w:val="22"/>
          <w:szCs w:val="22"/>
        </w:rPr>
      </w:pPr>
    </w:p>
    <w:p w14:paraId="1470AADD" w14:textId="77777777" w:rsidR="0001075B" w:rsidRDefault="0001075B" w:rsidP="0001075B">
      <w:pPr>
        <w:jc w:val="center"/>
        <w:rPr>
          <w:rFonts w:cs="Times New Roman"/>
          <w:i/>
          <w:sz w:val="22"/>
          <w:szCs w:val="22"/>
        </w:rPr>
      </w:pPr>
    </w:p>
    <w:p w14:paraId="4157A42C" w14:textId="77777777" w:rsidR="0001075B" w:rsidRDefault="0001075B" w:rsidP="0001075B">
      <w:pPr>
        <w:jc w:val="center"/>
        <w:rPr>
          <w:rFonts w:cs="Times New Roman"/>
          <w:i/>
          <w:sz w:val="22"/>
          <w:szCs w:val="22"/>
        </w:rPr>
      </w:pPr>
    </w:p>
    <w:p w14:paraId="5A41F530" w14:textId="3E37511F" w:rsidR="00A47ACD" w:rsidRDefault="00A47ACD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br w:type="page"/>
      </w:r>
    </w:p>
    <w:p w14:paraId="25009B78" w14:textId="2B032896" w:rsidR="00A47ACD" w:rsidRPr="00144749" w:rsidRDefault="00A47ACD" w:rsidP="00A47ACD">
      <w:pPr>
        <w:rPr>
          <w:rFonts w:ascii="Times New Roman" w:eastAsiaTheme="minorEastAsia" w:hAnsi="Times New Roman" w:cs="Times New Roman"/>
          <w:i/>
        </w:rPr>
      </w:pPr>
      <w:r w:rsidRPr="00144749">
        <w:rPr>
          <w:rFonts w:ascii="Times New Roman" w:eastAsiaTheme="minorEastAsia" w:hAnsi="Times New Roman" w:cs="Times New Roman"/>
          <w:i/>
        </w:rPr>
        <w:t>Figure 8 – Comparison of load-deflection curves for unrei</w:t>
      </w:r>
      <w:r>
        <w:rPr>
          <w:rFonts w:ascii="Times New Roman" w:eastAsiaTheme="minorEastAsia" w:hAnsi="Times New Roman" w:cs="Times New Roman"/>
          <w:i/>
        </w:rPr>
        <w:t>n</w:t>
      </w:r>
      <w:r w:rsidRPr="00144749">
        <w:rPr>
          <w:rFonts w:ascii="Times New Roman" w:eastAsiaTheme="minorEastAsia" w:hAnsi="Times New Roman" w:cs="Times New Roman"/>
          <w:i/>
        </w:rPr>
        <w:t>forced and reinforced concrete beams.</w:t>
      </w:r>
    </w:p>
    <w:p w14:paraId="6B2FD4B9" w14:textId="2359118E" w:rsidR="0001075B" w:rsidRDefault="00A47ACD" w:rsidP="0001075B">
      <w:pPr>
        <w:jc w:val="center"/>
        <w:rPr>
          <w:rFonts w:cs="Times New Roman"/>
          <w:i/>
          <w:sz w:val="22"/>
          <w:szCs w:val="22"/>
        </w:rPr>
      </w:pPr>
      <w:r w:rsidRPr="00A47ACD">
        <w:rPr>
          <w:rFonts w:cs="Times New Roman"/>
          <w:i/>
          <w:color w:val="FF0000"/>
          <w:sz w:val="22"/>
          <w:szCs w:val="22"/>
        </w:rPr>
        <w:t>(to be added when the tests are filmed)</w:t>
      </w:r>
    </w:p>
    <w:p w14:paraId="2F681E09" w14:textId="485512D0" w:rsidR="0001075B" w:rsidRDefault="0001075B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br w:type="page"/>
      </w:r>
    </w:p>
    <w:p w14:paraId="02BFA3B6" w14:textId="1136F2D1" w:rsidR="0001075B" w:rsidRPr="00164757" w:rsidRDefault="00E3159E" w:rsidP="0001075B">
      <w:pPr>
        <w:jc w:val="center"/>
        <w:rPr>
          <w:rFonts w:cs="Times New Roman"/>
          <w:i/>
          <w:sz w:val="22"/>
          <w:szCs w:val="22"/>
        </w:rPr>
      </w:pPr>
      <w:bookmarkStart w:id="0" w:name="_GoBack"/>
      <w:r>
        <w:rPr>
          <w:rFonts w:cs="Times New Roman"/>
          <w:i/>
          <w:noProof/>
          <w:sz w:val="22"/>
          <w:szCs w:val="22"/>
        </w:rPr>
        <w:drawing>
          <wp:inline distT="0" distB="0" distL="0" distR="0" wp14:anchorId="040DEF55" wp14:editId="4CC65B6B">
            <wp:extent cx="5943600" cy="44577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96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D28F251" w14:textId="1D547962" w:rsidR="00BD79A5" w:rsidRDefault="00BD79A5"/>
    <w:p w14:paraId="0CF8310C" w14:textId="77777777" w:rsidR="0001075B" w:rsidRDefault="0001075B"/>
    <w:p w14:paraId="287E481E" w14:textId="27BFB6AC" w:rsidR="0001075B" w:rsidRPr="009D75AF" w:rsidRDefault="0001075B" w:rsidP="00E3159E">
      <w:pPr>
        <w:jc w:val="center"/>
        <w:rPr>
          <w:rFonts w:ascii="Times" w:hAnsi="Times"/>
          <w:i/>
        </w:rPr>
      </w:pPr>
      <w:r w:rsidRPr="009D75AF">
        <w:rPr>
          <w:rFonts w:ascii="Times" w:hAnsi="Times"/>
          <w:i/>
        </w:rPr>
        <w:t xml:space="preserve">Figure </w:t>
      </w:r>
      <w:r w:rsidR="00A47ACD">
        <w:rPr>
          <w:rFonts w:ascii="Times" w:hAnsi="Times"/>
          <w:i/>
        </w:rPr>
        <w:t>9</w:t>
      </w:r>
      <w:r w:rsidRPr="009D75AF">
        <w:rPr>
          <w:rFonts w:ascii="Times" w:hAnsi="Times"/>
          <w:i/>
        </w:rPr>
        <w:t xml:space="preserve"> </w:t>
      </w:r>
      <w:r w:rsidR="00F33B7D" w:rsidRPr="009D75AF">
        <w:rPr>
          <w:rFonts w:ascii="Times" w:hAnsi="Times"/>
          <w:i/>
        </w:rPr>
        <w:t>–</w:t>
      </w:r>
      <w:r w:rsidRPr="009D75AF">
        <w:rPr>
          <w:rFonts w:ascii="Times" w:hAnsi="Times"/>
          <w:i/>
        </w:rPr>
        <w:t xml:space="preserve"> </w:t>
      </w:r>
      <w:r w:rsidR="00E3159E" w:rsidRPr="009D75AF">
        <w:rPr>
          <w:rFonts w:ascii="Times" w:hAnsi="Times"/>
          <w:i/>
        </w:rPr>
        <w:t>Virginia Tech Stadium (Blacksburg, VA)</w:t>
      </w:r>
    </w:p>
    <w:sectPr w:rsidR="0001075B" w:rsidRPr="009D75AF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16BD4"/>
    <w:multiLevelType w:val="multilevel"/>
    <w:tmpl w:val="B7EA32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1A"/>
    <w:rsid w:val="0001075B"/>
    <w:rsid w:val="00062C00"/>
    <w:rsid w:val="000A181D"/>
    <w:rsid w:val="00301753"/>
    <w:rsid w:val="00396BEB"/>
    <w:rsid w:val="003A57E5"/>
    <w:rsid w:val="004208A1"/>
    <w:rsid w:val="005829D9"/>
    <w:rsid w:val="00654DF4"/>
    <w:rsid w:val="00681F8D"/>
    <w:rsid w:val="006B411D"/>
    <w:rsid w:val="006D2861"/>
    <w:rsid w:val="0074494A"/>
    <w:rsid w:val="00752198"/>
    <w:rsid w:val="008612F2"/>
    <w:rsid w:val="00867C8E"/>
    <w:rsid w:val="008D00CF"/>
    <w:rsid w:val="00973ACB"/>
    <w:rsid w:val="009D75AF"/>
    <w:rsid w:val="00A47ACD"/>
    <w:rsid w:val="00B91EAC"/>
    <w:rsid w:val="00BA404F"/>
    <w:rsid w:val="00BD79A5"/>
    <w:rsid w:val="00CD321A"/>
    <w:rsid w:val="00DF6F15"/>
    <w:rsid w:val="00E3159E"/>
    <w:rsid w:val="00E92B2E"/>
    <w:rsid w:val="00EC1776"/>
    <w:rsid w:val="00F20568"/>
    <w:rsid w:val="00F33B7D"/>
    <w:rsid w:val="00F977A7"/>
    <w:rsid w:val="00FA1153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6B2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321A"/>
    <w:pPr>
      <w:keepNext/>
      <w:keepLines/>
      <w:spacing w:before="240"/>
      <w:ind w:left="360"/>
      <w:jc w:val="center"/>
      <w:outlineLvl w:val="0"/>
    </w:pPr>
    <w:rPr>
      <w:rFonts w:eastAsiaTheme="majorEastAsia"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21A"/>
    <w:rPr>
      <w:rFonts w:eastAsiaTheme="majorEastAsia" w:cs="Times New Roman"/>
      <w:i/>
    </w:rPr>
  </w:style>
  <w:style w:type="paragraph" w:styleId="BodyText">
    <w:name w:val="Body Text"/>
    <w:basedOn w:val="Normal"/>
    <w:link w:val="BodyTextChar"/>
    <w:rsid w:val="0074494A"/>
    <w:pPr>
      <w:jc w:val="both"/>
    </w:pPr>
    <w:rPr>
      <w:rFonts w:ascii="Times New Roman" w:eastAsia="Times New Roman" w:hAnsi="Times New Roman" w:cs="Times New Roman"/>
      <w:sz w:val="22"/>
      <w:szCs w:val="20"/>
      <w:lang w:eastAsia="ko-KR"/>
    </w:rPr>
  </w:style>
  <w:style w:type="character" w:customStyle="1" w:styleId="BodyTextChar">
    <w:name w:val="Body Text Char"/>
    <w:basedOn w:val="DefaultParagraphFont"/>
    <w:link w:val="BodyText"/>
    <w:rsid w:val="0074494A"/>
    <w:rPr>
      <w:rFonts w:ascii="Times New Roman" w:eastAsia="Times New Roman" w:hAnsi="Times New Roman" w:cs="Times New Roman"/>
      <w:sz w:val="22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196</Words>
  <Characters>1119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4</cp:revision>
  <dcterms:created xsi:type="dcterms:W3CDTF">2017-03-09T14:09:00Z</dcterms:created>
  <dcterms:modified xsi:type="dcterms:W3CDTF">2017-03-09T14:36:00Z</dcterms:modified>
</cp:coreProperties>
</file>