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br/>
        <w:t xml:space="preserve">Dynamics of Structures through Shake Table Studies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is rare nowadays that a whole year goes by without a major earthquake event wreaking havoc somewhere around the world. In some cases, like the 2005 Banda Ache earthquake in Indonesia, the damage involved large geographic areas and casualties in the six figures. In general, the number and intensity of earthquakes is not increasing, however, the vulnerability of the built environment is rising.  With increasing unregulated urbanization around seismically active areas, such as the Circum-Pacific “belt of fire,” sea rising in low-laying coastal area, and increasing concentrations of both energy production/distribution and digital/telecommunication network critical nodes in vulnerable areas, it is clear that earthquake-resistant design is key to future community resilience.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Designing structures to resist earthquake damage has progressed greatly in the last 50 years, primarily through work in Japan following the 1964 Niigata Earthquake, and in the United States following the 1971 San Fernando Valley Earthquake. The work has advanced along three parallel tracks: (a) </w:t>
      </w:r>
      <w:r>
        <w:rPr>
          <w:rFonts w:ascii="Times New Roman" w:hAnsi="Times New Roman" w:cs="Times New Roman" w:eastAsia="Times New Roman"/>
          <w:b/>
          <w:color w:val="auto"/>
          <w:spacing w:val="0"/>
          <w:position w:val="0"/>
          <w:sz w:val="22"/>
          <w:shd w:fill="auto" w:val="clear"/>
        </w:rPr>
        <w:t xml:space="preserve">experimental work</w:t>
      </w:r>
      <w:r>
        <w:rPr>
          <w:rFonts w:ascii="Times New Roman" w:hAnsi="Times New Roman" w:cs="Times New Roman" w:eastAsia="Times New Roman"/>
          <w:color w:val="auto"/>
          <w:spacing w:val="0"/>
          <w:position w:val="0"/>
          <w:sz w:val="22"/>
          <w:shd w:fill="auto" w:val="clear"/>
        </w:rPr>
        <w:t xml:space="preserve"> aimed at developing improved construction techniques to minimize damage and loss of life; (b) </w:t>
      </w:r>
      <w:r>
        <w:rPr>
          <w:rFonts w:ascii="Times New Roman" w:hAnsi="Times New Roman" w:cs="Times New Roman" w:eastAsia="Times New Roman"/>
          <w:b/>
          <w:color w:val="auto"/>
          <w:spacing w:val="0"/>
          <w:position w:val="0"/>
          <w:sz w:val="22"/>
          <w:shd w:fill="auto" w:val="clear"/>
        </w:rPr>
        <w:t xml:space="preserve">analytical studies</w:t>
      </w:r>
      <w:r>
        <w:rPr>
          <w:rFonts w:ascii="Times New Roman" w:hAnsi="Times New Roman" w:cs="Times New Roman" w:eastAsia="Times New Roman"/>
          <w:color w:val="auto"/>
          <w:spacing w:val="0"/>
          <w:position w:val="0"/>
          <w:sz w:val="22"/>
          <w:shd w:fill="auto" w:val="clear"/>
        </w:rPr>
        <w:t xml:space="preserve"> based on advanced geometrical and non-linear material models; and, (c) </w:t>
      </w:r>
      <w:r>
        <w:rPr>
          <w:rFonts w:ascii="Times New Roman" w:hAnsi="Times New Roman" w:cs="Times New Roman" w:eastAsia="Times New Roman"/>
          <w:b/>
          <w:color w:val="auto"/>
          <w:spacing w:val="0"/>
          <w:position w:val="0"/>
          <w:sz w:val="22"/>
          <w:shd w:fill="auto" w:val="clear"/>
        </w:rPr>
        <w:t xml:space="preserve">synthesis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of the results</w:t>
      </w:r>
      <w:r>
        <w:rPr>
          <w:rFonts w:ascii="Times New Roman" w:hAnsi="Times New Roman" w:cs="Times New Roman" w:eastAsia="Times New Roman"/>
          <w:color w:val="auto"/>
          <w:spacing w:val="0"/>
          <w:position w:val="0"/>
          <w:sz w:val="22"/>
          <w:shd w:fill="auto" w:val="clear"/>
        </w:rPr>
        <w:t xml:space="preserve"> in (a) and (b) into design code provisions that improve the ability of structures to resist unexpected loads.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Seismic testing in a laboratory setting is often difficult and expensive. Testing is primarily carried out using the following three techniques:</w:t>
      </w:r>
    </w:p>
    <w:p>
      <w:pPr>
        <w:spacing w:before="0" w:after="200" w:line="240"/>
        <w:ind w:right="0" w:left="773"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r>
      <w:r>
        <w:rPr>
          <w:rFonts w:ascii="Times New Roman" w:hAnsi="Times New Roman" w:cs="Times New Roman" w:eastAsia="Times New Roman"/>
          <w:b/>
          <w:color w:val="auto"/>
          <w:spacing w:val="0"/>
          <w:position w:val="0"/>
          <w:sz w:val="22"/>
          <w:shd w:fill="auto" w:val="clear"/>
        </w:rPr>
        <w:t xml:space="preserve">Quasi-static testing</w:t>
      </w:r>
      <w:r>
        <w:rPr>
          <w:rFonts w:ascii="Times New Roman" w:hAnsi="Times New Roman" w:cs="Times New Roman" w:eastAsia="Times New Roman"/>
          <w:color w:val="auto"/>
          <w:spacing w:val="0"/>
          <w:position w:val="0"/>
          <w:sz w:val="22"/>
          <w:shd w:fill="auto" w:val="clear"/>
        </w:rPr>
        <w:t xml:space="preserve"> (QST), where parts of a structure are tested using slowly applied and equivalently predetermined lateral deformations with idealized boundary conditions.  This technique is particularly useful to assess the effects of structural detailing on the toughness and deformation capacity of particular parts of structures.</w:t>
      </w:r>
    </w:p>
    <w:p>
      <w:pPr>
        <w:spacing w:before="0" w:after="200" w:line="240"/>
        <w:ind w:right="0" w:left="773"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773"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r>
      <w:r>
        <w:rPr>
          <w:rFonts w:ascii="Times New Roman" w:hAnsi="Times New Roman" w:cs="Times New Roman" w:eastAsia="Times New Roman"/>
          <w:b/>
          <w:color w:val="auto"/>
          <w:spacing w:val="0"/>
          <w:position w:val="0"/>
          <w:sz w:val="22"/>
          <w:shd w:fill="auto" w:val="clear"/>
        </w:rPr>
        <w:t xml:space="preserve">Pseudo-dynamic testing</w:t>
      </w:r>
      <w:r>
        <w:rPr>
          <w:rFonts w:ascii="Times New Roman" w:hAnsi="Times New Roman" w:cs="Times New Roman" w:eastAsia="Times New Roman"/>
          <w:color w:val="auto"/>
          <w:spacing w:val="0"/>
          <w:position w:val="0"/>
          <w:sz w:val="22"/>
          <w:shd w:fill="auto" w:val="clear"/>
        </w:rPr>
        <w:t xml:space="preserve"> (PSDT), where loads are also applied slowly, but the dynamic effects are taken into account by solving the equations of motion as the test progresses and by utilizing direct test feedbacks (primarily the instantaneous stiffness) to assess the actual stiffness and damping characteristics of the structure. </w:t>
      </w:r>
    </w:p>
    <w:p>
      <w:pPr>
        <w:spacing w:before="0" w:after="200" w:line="240"/>
        <w:ind w:right="0" w:left="773"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773"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r>
      <w:r>
        <w:rPr>
          <w:rFonts w:ascii="Times New Roman" w:hAnsi="Times New Roman" w:cs="Times New Roman" w:eastAsia="Times New Roman"/>
          <w:b/>
          <w:color w:val="auto"/>
          <w:spacing w:val="0"/>
          <w:position w:val="0"/>
          <w:sz w:val="22"/>
          <w:shd w:fill="auto" w:val="clear"/>
        </w:rPr>
        <w:t xml:space="preserve">Shake tables</w:t>
      </w:r>
      <w:r>
        <w:rPr>
          <w:rFonts w:ascii="Times New Roman" w:hAnsi="Times New Roman" w:cs="Times New Roman" w:eastAsia="Times New Roman"/>
          <w:color w:val="auto"/>
          <w:spacing w:val="0"/>
          <w:position w:val="0"/>
          <w:sz w:val="22"/>
          <w:shd w:fill="auto" w:val="clear"/>
        </w:rPr>
        <w:t xml:space="preserve">, where scale models of complete structures are subjected to input motions using a hydraulically actuated base or foundation.  Shake tables represent a more faithful testing technique, as the structure is not artificially restrained, the input is true ground motion, and the resulting forces are truly inertial ones, as one would expect in a real earthquake.  However, the power requirements are enormous, and only a few shake tables capable of working at nearly full-scale exist around the world. Globally, there is only one large shake table capable of carrying out tests on full-scale structures, which is the shake table at the E-Defense facility in Japan, built in the aftermath of the 1985 Kobe earthquake.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we will utilize a small shake table and model structures to study the dynamic behavior characteristics of some structural models.  It is these dynamic characteristics, principally the natural frequency and damping, as well as the quality of the structural detailing and construction, which make structures more or less vulnerable to earthquakes.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is a fundamental difference between the usual gravity (self-weight) loads that act on a structure, which are quasi-static (i.e., they change very slowly, or not at all with time), and those produced by hurricanes, blasts, and earthquakes, which are extremely dynamic in nature.  In the case of hurricanes and other wind loads, it is possible to model their effects as equivalent static pressures in the laboratory as the frequency of the winds is very long compared to the fundamental natural frequency of the typical structure. Important exceptions to this include flexible structures, such as long-span cable-stayed and suspension bridges, tall masts, and wind turbine structures, where the natural frequency of the structure can match that of the wind gusts or straight winds. In the case of earthquakes, the loads are primarily inertial as the ground moves, and the structure tends to stay still. In this case, the loading depends on the actual mass, stiffness, and damping of the structure, and the quantities of interest are the accelerations, velocities, and displacements around the structure. This second set of quantities is very difficult to reproduce accurately in the laboratory if shake tables are not available.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Using basic physics, like Newton’s Second Law, one can simplify the problem of the equilibrium of a structure (such as a bridge or a frame with rigid beam), which is subject to ground motions (u</w:t>
      </w:r>
      <w:r>
        <w:rPr>
          <w:rFonts w:ascii="Times New Roman" w:hAnsi="Times New Roman" w:cs="Times New Roman" w:eastAsia="Times New Roman"/>
          <w:color w:val="auto"/>
          <w:spacing w:val="0"/>
          <w:position w:val="0"/>
          <w:sz w:val="22"/>
          <w:shd w:fill="auto" w:val="clear"/>
          <w:vertAlign w:val="subscript"/>
        </w:rPr>
        <w:t xml:space="preserve">g</w:t>
      </w:r>
      <w:r>
        <w:rPr>
          <w:rFonts w:ascii="Times New Roman" w:hAnsi="Times New Roman" w:cs="Times New Roman" w:eastAsia="Times New Roman"/>
          <w:color w:val="auto"/>
          <w:spacing w:val="0"/>
          <w:position w:val="0"/>
          <w:sz w:val="22"/>
          <w:shd w:fill="auto" w:val="clear"/>
        </w:rPr>
        <w:t xml:space="preserve">), to that of a single degree-of-freedom mass (</w:t>
      </w: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rPr>
        <w:t xml:space="preserve">) with stiffness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and damping (</w:t>
      </w:r>
      <w:r>
        <w:rPr>
          <w:rFonts w:ascii="Times New Roman" w:hAnsi="Times New Roman" w:cs="Times New Roman" w:eastAsia="Times New Roman"/>
          <w:i/>
          <w:color w:val="auto"/>
          <w:spacing w:val="0"/>
          <w:position w:val="0"/>
          <w:sz w:val="22"/>
          <w:shd w:fill="auto" w:val="clear"/>
        </w:rPr>
        <w:t xml:space="preserve">c</w:t>
      </w:r>
      <w:r>
        <w:rPr>
          <w:rFonts w:ascii="Times New Roman" w:hAnsi="Times New Roman" w:cs="Times New Roman" w:eastAsia="Times New Roman"/>
          <w:color w:val="auto"/>
          <w:spacing w:val="0"/>
          <w:position w:val="0"/>
          <w:sz w:val="22"/>
          <w:shd w:fill="auto" w:val="clear"/>
        </w:rPr>
        <w:t xml:space="preserve">) characteristics. The latter two can be represented by a spring in which the force is proportional to the displacement (</w:t>
      </w:r>
      <w:r>
        <w:rPr>
          <w:rFonts w:ascii="Times New Roman" w:hAnsi="Times New Roman" w:cs="Times New Roman" w:eastAsia="Times New Roman"/>
          <w:i/>
          <w:color w:val="auto"/>
          <w:spacing w:val="0"/>
          <w:position w:val="0"/>
          <w:sz w:val="22"/>
          <w:shd w:fill="auto" w:val="clear"/>
        </w:rPr>
        <w:t xml:space="preserve">u</w:t>
      </w:r>
      <w:r>
        <w:rPr>
          <w:rFonts w:ascii="Times New Roman" w:hAnsi="Times New Roman" w:cs="Times New Roman" w:eastAsia="Times New Roman"/>
          <w:color w:val="auto"/>
          <w:spacing w:val="0"/>
          <w:position w:val="0"/>
          <w:sz w:val="22"/>
          <w:shd w:fill="auto" w:val="clear"/>
        </w:rPr>
        <w:t xml:space="preserve">) as well as a dashpot in which the forces are proportional to the velocity (</w:t>
      </w:r>
      <w:r>
        <w:rPr>
          <w:rFonts w:ascii="Times New Roman" w:hAnsi="Times New Roman" w:cs="Times New Roman" w:eastAsia="Times New Roman"/>
          <w:i/>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rPr>
        <w:t xml:space="preserve">) (Figure 1). These components can be combined in parallel and/or series to model different structural configurations.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Stiffness is defined as the force required to deform the structure by a unit amount. Suppose that one loads a cantilever beam with a known force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rPr>
        <w:t xml:space="preserve">) and measure its elastic deformation at the tip (</w:t>
      </w:r>
      <w:r>
        <w:object w:dxaOrig="222" w:dyaOrig="263">
          <v:rect xmlns:o="urn:schemas-microsoft-com:office:office" xmlns:v="urn:schemas-microsoft-com:vml" id="rectole0000000000" style="width:11.100000pt;height:13.1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r>
        <w:rPr>
          <w:rFonts w:ascii="Times New Roman" w:hAnsi="Times New Roman" w:cs="Times New Roman" w:eastAsia="Times New Roman"/>
          <w:color w:val="auto"/>
          <w:spacing w:val="0"/>
          <w:position w:val="0"/>
          <w:sz w:val="22"/>
          <w:shd w:fill="auto" w:val="clear"/>
        </w:rPr>
        <w:t xml:space="preserve">). The stiffness is defined as </w:t>
      </w:r>
      <w:r>
        <w:rPr>
          <w:rFonts w:ascii="Times New Roman" w:hAnsi="Times New Roman" w:cs="Times New Roman" w:eastAsia="Times New Roman"/>
          <w:i/>
          <w:color w:val="auto"/>
          <w:spacing w:val="0"/>
          <w:position w:val="0"/>
          <w:sz w:val="22"/>
          <w:shd w:fill="auto" w:val="clear"/>
        </w:rPr>
        <w:t xml:space="preserve">k = P/</w:t>
      </w:r>
      <w:r>
        <w:object w:dxaOrig="222" w:dyaOrig="263">
          <v:rect xmlns:o="urn:schemas-microsoft-com:office:office" xmlns:v="urn:schemas-microsoft-com:vml" id="rectole0000000001" style="width:11.100000pt;height:13.15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For the simple elastic cantilever system shown, </w:t>
      </w:r>
      <w:r>
        <w:rPr>
          <w:rFonts w:ascii="Times New Roman" w:hAnsi="Times New Roman" w:cs="Times New Roman" w:eastAsia="Times New Roman"/>
          <w:i/>
          <w:color w:val="auto"/>
          <w:spacing w:val="0"/>
          <w:position w:val="0"/>
          <w:sz w:val="22"/>
          <w:shd w:fill="auto" w:val="clear"/>
        </w:rPr>
        <w:t xml:space="preserve">k= L</w:t>
      </w:r>
      <w:r>
        <w:rPr>
          <w:rFonts w:ascii="Times New Roman" w:hAnsi="Times New Roman" w:cs="Times New Roman" w:eastAsia="Times New Roman"/>
          <w:i/>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/3EI</w:t>
      </w:r>
      <w:r>
        <w:rPr>
          <w:rFonts w:ascii="Times New Roman" w:hAnsi="Times New Roman" w:cs="Times New Roman" w:eastAsia="Times New Roman"/>
          <w:color w:val="auto"/>
          <w:spacing w:val="0"/>
          <w:position w:val="0"/>
          <w:sz w:val="22"/>
          <w:shd w:fill="auto" w:val="clear"/>
        </w:rPr>
        <w:t xml:space="preserve">, where L is the length of the cantilever, I is its moment of inertia, and E is Young’s modulus for the material used. Next, imagine what happens if one removes the force suddenly, thereby allowing the cantilever to vibrate. One intuitively will expect the amplitude of vibrations to begin to decrease with every cycle.  This phenomenon is called damping and refers to a series of complex internal mechanisms, such as friction, that tend to reduce the oscillations.  The quantification of damping is described later in this lab, but it is important to note that at this point, not much is known about these mechanisms from either a theoretical or practical standpoint.  A useful concept is to visualize the critical damping coefficient (</w:t>
      </w:r>
      <w:r>
        <w:rPr>
          <w:rFonts w:ascii="Times New Roman" w:hAnsi="Times New Roman" w:cs="Times New Roman" w:eastAsia="Times New Roman"/>
          <w:i/>
          <w:color w:val="auto"/>
          <w:spacing w:val="0"/>
          <w:position w:val="0"/>
          <w:sz w:val="22"/>
          <w:shd w:fill="auto" w:val="clear"/>
        </w:rPr>
        <w:t xml:space="preserve">c</w:t>
      </w:r>
      <w:r>
        <w:rPr>
          <w:rFonts w:ascii="Times New Roman" w:hAnsi="Times New Roman" w:cs="Times New Roman" w:eastAsia="Times New Roman"/>
          <w:i/>
          <w:color w:val="auto"/>
          <w:spacing w:val="0"/>
          <w:position w:val="0"/>
          <w:sz w:val="22"/>
          <w:shd w:fill="auto" w:val="clear"/>
          <w:vertAlign w:val="subscript"/>
        </w:rPr>
        <w:t xml:space="preserve">cr</w:t>
      </w:r>
      <w:r>
        <w:rPr>
          <w:rFonts w:ascii="Times New Roman" w:hAnsi="Times New Roman" w:cs="Times New Roman" w:eastAsia="Times New Roman"/>
          <w:color w:val="auto"/>
          <w:spacing w:val="0"/>
          <w:position w:val="0"/>
          <w:sz w:val="22"/>
          <w:shd w:fill="auto" w:val="clear"/>
        </w:rPr>
        <w:t xml:space="preserve">), which corresponds to the case where the cantilever will come to rest after just one complete oscillation.</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Single degree of freedom system model.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Writing an equation of horizontal equilibrium of forces for the system pictured in Figure 1 leads to:</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w:t>
        <w:tab/>
      </w:r>
      <w:r>
        <w:rPr>
          <w:rFonts w:ascii="Times New Roman" w:hAnsi="Times New Roman" w:cs="Times New Roman" w:eastAsia="Times New Roman"/>
          <w:b/>
          <w:color w:val="auto"/>
          <w:spacing w:val="0"/>
          <w:position w:val="0"/>
          <w:sz w:val="22"/>
          <w:shd w:fill="auto" w:val="clear"/>
        </w:rPr>
        <w:tab/>
        <w:tab/>
        <w:tab/>
        <w:tab/>
      </w:r>
      <w:r>
        <w:rPr>
          <w:rFonts w:ascii="Times New Roman" w:hAnsi="Times New Roman" w:cs="Times New Roman" w:eastAsia="Times New Roman"/>
          <w:color w:val="auto"/>
          <w:spacing w:val="0"/>
          <w:position w:val="0"/>
          <w:sz w:val="22"/>
          <w:shd w:fill="auto" w:val="clear"/>
        </w:rPr>
        <w:t xml:space="preserve">(Eq. 1)</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we look at a simpler case for a moment, where we can ignore damping because its effects are negligible, and there is no external forcing function, Equation 1 becomes the linear homogeneous second-order differential equation: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object w:dxaOrig="1133" w:dyaOrig="283">
          <v:rect xmlns:o="urn:schemas-microsoft-com:office:office" xmlns:v="urn:schemas-microsoft-com:vml" id="rectole0000000002" style="width:56.650000pt;height:14.15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r>
        <w:rPr>
          <w:rFonts w:ascii="Times New Roman" w:hAnsi="Times New Roman" w:cs="Times New Roman" w:eastAsia="Times New Roman"/>
          <w:b/>
          <w:color w:val="auto"/>
          <w:spacing w:val="0"/>
          <w:position w:val="0"/>
          <w:sz w:val="22"/>
          <w:shd w:fill="auto" w:val="clear"/>
        </w:rPr>
        <w:t xml:space="preserve"> </w:t>
        <w:tab/>
        <w:tab/>
        <w:tab/>
        <w:tab/>
        <w:tab/>
        <w:tab/>
        <w:t xml:space="preserve"> </w:t>
      </w:r>
      <w:r>
        <w:rPr>
          <w:rFonts w:ascii="Times New Roman" w:hAnsi="Times New Roman" w:cs="Times New Roman" w:eastAsia="Times New Roman"/>
          <w:color w:val="auto"/>
          <w:spacing w:val="0"/>
          <w:position w:val="0"/>
          <w:sz w:val="22"/>
          <w:shd w:fill="auto" w:val="clear"/>
        </w:rPr>
        <w:t xml:space="preserve">(Eq. 2)</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whose solution is of the form:</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object w:dxaOrig="688" w:dyaOrig="323">
          <v:rect xmlns:o="urn:schemas-microsoft-com:office:office" xmlns:v="urn:schemas-microsoft-com:vml" id="rectole0000000003" style="width:34.400000pt;height:16.150000pt" o:preferrelative="t" o:ole="">
            <o:lock v:ext="edit"/>
            <v:imagedata xmlns:r="http://schemas.openxmlformats.org/officeDocument/2006/relationships" r:id="docRId7" o:title=""/>
          </v:rect>
          <o:OLEObject xmlns:r="http://schemas.openxmlformats.org/officeDocument/2006/relationships" xmlns:o="urn:schemas-microsoft-com:office:office" Type="Embed" DrawAspect="Content" ObjectID="0000000003" ShapeID="rectole0000000003" r:id="docRId6"/>
        </w:object>
      </w:r>
      <w:r>
        <w:rPr>
          <w:rFonts w:ascii="Times New Roman" w:hAnsi="Times New Roman" w:cs="Times New Roman" w:eastAsia="Times New Roman"/>
          <w:color w:val="auto"/>
          <w:spacing w:val="0"/>
          <w:position w:val="0"/>
          <w:sz w:val="22"/>
          <w:shd w:fill="auto" w:val="clear"/>
        </w:rPr>
        <w:t xml:space="preserve">    </w:t>
        <w:tab/>
        <w:tab/>
        <w:tab/>
        <w:tab/>
        <w:tab/>
        <w:t xml:space="preserve">  (Eq. 3)</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Differentiating twice will give us:</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object w:dxaOrig="911" w:dyaOrig="344">
          <v:rect xmlns:o="urn:schemas-microsoft-com:office:office" xmlns:v="urn:schemas-microsoft-com:vml" id="rectole0000000004" style="width:45.550000pt;height:17.200000pt" o:preferrelative="t" o:ole="">
            <o:lock v:ext="edit"/>
            <v:imagedata xmlns:r="http://schemas.openxmlformats.org/officeDocument/2006/relationships" r:id="docRId9" o:title=""/>
          </v:rect>
          <o:OLEObject xmlns:r="http://schemas.openxmlformats.org/officeDocument/2006/relationships" xmlns:o="urn:schemas-microsoft-com:office:office" Type="Embed" DrawAspect="Content" ObjectID="0000000004" ShapeID="rectole0000000004" r:id="docRId8"/>
        </w:object>
      </w:r>
      <w:r>
        <w:rPr>
          <w:rFonts w:ascii="Times New Roman" w:hAnsi="Times New Roman" w:cs="Times New Roman" w:eastAsia="Times New Roman"/>
          <w:color w:val="auto"/>
          <w:spacing w:val="0"/>
          <w:position w:val="0"/>
          <w:sz w:val="22"/>
          <w:shd w:fill="auto" w:val="clear"/>
        </w:rPr>
        <w:t xml:space="preserve">    </w:t>
        <w:tab/>
        <w:tab/>
        <w:tab/>
        <w:tab/>
        <w:tab/>
        <w:t xml:space="preserve">  (Eq. 4)</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Substituting Equation 4 into Equation 2, yields:</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object w:dxaOrig="2591" w:dyaOrig="1700">
          <v:rect xmlns:o="urn:schemas-microsoft-com:office:office" xmlns:v="urn:schemas-microsoft-com:vml" id="rectole0000000005" style="width:129.550000pt;height:85.000000pt" o:preferrelative="t" o:ole="">
            <o:lock v:ext="edit"/>
            <v:imagedata xmlns:r="http://schemas.openxmlformats.org/officeDocument/2006/relationships" r:id="docRId11" o:title=""/>
          </v:rect>
          <o:OLEObject xmlns:r="http://schemas.openxmlformats.org/officeDocument/2006/relationships" xmlns:o="urn:schemas-microsoft-com:office:office" Type="Embed" DrawAspect="Content" ObjectID="0000000005" ShapeID="rectole0000000005" r:id="docRId10"/>
        </w:object>
      </w:r>
      <w:r>
        <w:rPr>
          <w:rFonts w:ascii="Times New Roman" w:hAnsi="Times New Roman" w:cs="Times New Roman" w:eastAsia="Times New Roman"/>
          <w:b/>
          <w:color w:val="auto"/>
          <w:spacing w:val="0"/>
          <w:position w:val="0"/>
          <w:sz w:val="22"/>
          <w:shd w:fill="auto" w:val="clear"/>
        </w:rPr>
        <w:t xml:space="preserve"> </w:t>
        <w:tab/>
        <w:tab/>
        <w:tab/>
        <w:tab/>
        <w:tab/>
        <w:t xml:space="preserve"> </w:t>
      </w:r>
      <w:r>
        <w:rPr>
          <w:rFonts w:ascii="Times New Roman" w:hAnsi="Times New Roman" w:cs="Times New Roman" w:eastAsia="Times New Roman"/>
          <w:color w:val="auto"/>
          <w:spacing w:val="0"/>
          <w:position w:val="0"/>
          <w:sz w:val="22"/>
          <w:shd w:fill="auto" w:val="clear"/>
        </w:rPr>
        <w:t xml:space="preserve">(Eq. 5)</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general solution is:</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object w:dxaOrig="2591" w:dyaOrig="769">
          <v:rect xmlns:o="urn:schemas-microsoft-com:office:office" xmlns:v="urn:schemas-microsoft-com:vml" id="rectole0000000006" style="width:129.550000pt;height:38.450000pt" o:preferrelative="t" o:ole="">
            <o:lock v:ext="edit"/>
            <v:imagedata xmlns:r="http://schemas.openxmlformats.org/officeDocument/2006/relationships" r:id="docRId13" o:title=""/>
          </v:rect>
          <o:OLEObject xmlns:r="http://schemas.openxmlformats.org/officeDocument/2006/relationships" xmlns:o="urn:schemas-microsoft-com:office:office" Type="Embed" DrawAspect="Content" ObjectID="0000000006" ShapeID="rectole0000000006" r:id="docRId12"/>
        </w:object>
      </w:r>
      <w:r>
        <w:rPr>
          <w:rFonts w:ascii="Times New Roman" w:hAnsi="Times New Roman" w:cs="Times New Roman" w:eastAsia="Times New Roman"/>
          <w:color w:val="auto"/>
          <w:spacing w:val="0"/>
          <w:position w:val="0"/>
          <w:sz w:val="22"/>
          <w:shd w:fill="auto" w:val="clear"/>
        </w:rPr>
        <w:t xml:space="preserve">    </w:t>
        <w:tab/>
        <w:tab/>
        <w:tab/>
        <w:tab/>
        <w:tab/>
        <w:t xml:space="preserve">(Eq.  6)</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w:t>
      </w:r>
      <w:r>
        <w:object w:dxaOrig="1093" w:dyaOrig="526">
          <v:rect xmlns:o="urn:schemas-microsoft-com:office:office" xmlns:v="urn:schemas-microsoft-com:vml" id="rectole0000000007" style="width:54.650000pt;height:26.300000pt" o:preferrelative="t" o:ole="">
            <o:lock v:ext="edit"/>
            <v:imagedata xmlns:r="http://schemas.openxmlformats.org/officeDocument/2006/relationships" r:id="docRId15" o:title=""/>
          </v:rect>
          <o:OLEObject xmlns:r="http://schemas.openxmlformats.org/officeDocument/2006/relationships" xmlns:o="urn:schemas-microsoft-com:office:office" Type="Embed" DrawAspect="Content" ObjectID="0000000007" ShapeID="rectole0000000007" r:id="docRId14"/>
        </w:object>
      </w:r>
      <w:r>
        <w:rPr>
          <w:rFonts w:ascii="Times New Roman" w:hAnsi="Times New Roman" w:cs="Times New Roman" w:eastAsia="Times New Roman"/>
          <w:color w:val="auto"/>
          <w:spacing w:val="0"/>
          <w:position w:val="0"/>
          <w:sz w:val="22"/>
          <w:shd w:fill="auto" w:val="clear"/>
        </w:rPr>
        <w:t xml:space="preserve"> is the undamped natural frequency of the system.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this system is given an initial displacement (</w:t>
      </w:r>
      <w:r>
        <w:object w:dxaOrig="263" w:dyaOrig="364">
          <v:rect xmlns:o="urn:schemas-microsoft-com:office:office" xmlns:v="urn:schemas-microsoft-com:vml" id="rectole0000000008" style="width:13.150000pt;height:18.200000pt" o:preferrelative="t" o:ole="">
            <o:lock v:ext="edit"/>
            <v:imagedata xmlns:r="http://schemas.openxmlformats.org/officeDocument/2006/relationships" r:id="docRId17" o:title=""/>
          </v:rect>
          <o:OLEObject xmlns:r="http://schemas.openxmlformats.org/officeDocument/2006/relationships" xmlns:o="urn:schemas-microsoft-com:office:office" Type="Embed" DrawAspect="Content" ObjectID="0000000008" ShapeID="rectole0000000008" r:id="docRId16"/>
        </w:object>
      </w:r>
      <w:r>
        <w:rPr>
          <w:rFonts w:ascii="Times New Roman" w:hAnsi="Times New Roman" w:cs="Times New Roman" w:eastAsia="Times New Roman"/>
          <w:color w:val="auto"/>
          <w:spacing w:val="0"/>
          <w:position w:val="0"/>
          <w:sz w:val="22"/>
          <w:shd w:fill="auto" w:val="clear"/>
        </w:rPr>
        <w:t xml:space="preserve">) and/or an initial velocity (</w:t>
      </w:r>
      <w:r>
        <w:object w:dxaOrig="263" w:dyaOrig="384">
          <v:rect xmlns:o="urn:schemas-microsoft-com:office:office" xmlns:v="urn:schemas-microsoft-com:vml" id="rectole0000000009" style="width:13.150000pt;height:19.200000pt" o:preferrelative="t" o:ole="">
            <o:lock v:ext="edit"/>
            <v:imagedata xmlns:r="http://schemas.openxmlformats.org/officeDocument/2006/relationships" r:id="docRId19" o:title=""/>
          </v:rect>
          <o:OLEObject xmlns:r="http://schemas.openxmlformats.org/officeDocument/2006/relationships" xmlns:o="urn:schemas-microsoft-com:office:office" Type="Embed" DrawAspect="Content" ObjectID="0000000009" ShapeID="rectole0000000009" r:id="docRId18"/>
        </w:object>
      </w:r>
      <w:r>
        <w:rPr>
          <w:rFonts w:ascii="Times New Roman" w:hAnsi="Times New Roman" w:cs="Times New Roman" w:eastAsia="Times New Roman"/>
          <w:color w:val="auto"/>
          <w:spacing w:val="0"/>
          <w:position w:val="0"/>
          <w:sz w:val="22"/>
          <w:shd w:fill="auto" w:val="clear"/>
        </w:rPr>
        <w:t xml:space="preserve">), Equation 6 becomes:</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object w:dxaOrig="2470" w:dyaOrig="748">
          <v:rect xmlns:o="urn:schemas-microsoft-com:office:office" xmlns:v="urn:schemas-microsoft-com:vml" id="rectole0000000010" style="width:123.500000pt;height:37.400000pt" o:preferrelative="t" o:ole="">
            <o:lock v:ext="edit"/>
            <v:imagedata xmlns:r="http://schemas.openxmlformats.org/officeDocument/2006/relationships" r:id="docRId21" o:title=""/>
          </v:rect>
          <o:OLEObject xmlns:r="http://schemas.openxmlformats.org/officeDocument/2006/relationships" xmlns:o="urn:schemas-microsoft-com:office:office" Type="Embed" DrawAspect="Content" ObjectID="0000000010" ShapeID="rectole0000000010" r:id="docRId20"/>
        </w:object>
      </w:r>
      <w:r>
        <w:rPr>
          <w:rFonts w:ascii="Times New Roman" w:hAnsi="Times New Roman" w:cs="Times New Roman" w:eastAsia="Times New Roman"/>
          <w:color w:val="auto"/>
          <w:spacing w:val="0"/>
          <w:position w:val="0"/>
          <w:sz w:val="22"/>
          <w:shd w:fill="auto" w:val="clear"/>
        </w:rPr>
        <w:t xml:space="preserve">    </w:t>
        <w:tab/>
        <w:tab/>
        <w:tab/>
        <w:tab/>
        <w:t xml:space="preserve">           (Eq. 7)</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we add the effect of damping (</w:t>
      </w:r>
      <w:r>
        <w:rPr>
          <w:rFonts w:ascii="Times New Roman" w:hAnsi="Times New Roman" w:cs="Times New Roman" w:eastAsia="Times New Roman"/>
          <w:i/>
          <w:color w:val="auto"/>
          <w:spacing w:val="0"/>
          <w:position w:val="0"/>
          <w:sz w:val="22"/>
          <w:shd w:fill="auto" w:val="clear"/>
        </w:rPr>
        <w:t xml:space="preserve">c</w:t>
      </w:r>
      <w:r>
        <w:rPr>
          <w:rFonts w:ascii="Times New Roman" w:hAnsi="Times New Roman" w:cs="Times New Roman" w:eastAsia="Times New Roman"/>
          <w:color w:val="auto"/>
          <w:spacing w:val="0"/>
          <w:position w:val="0"/>
          <w:sz w:val="22"/>
          <w:shd w:fill="auto" w:val="clear"/>
        </w:rPr>
        <w:t xml:space="preserve">) and define </w:t>
      </w:r>
      <w:r>
        <w:object w:dxaOrig="1073" w:dyaOrig="688">
          <v:rect xmlns:o="urn:schemas-microsoft-com:office:office" xmlns:v="urn:schemas-microsoft-com:vml" id="rectole0000000011" style="width:53.650000pt;height:34.400000pt" o:preferrelative="t" o:ole="">
            <o:lock v:ext="edit"/>
            <v:imagedata xmlns:r="http://schemas.openxmlformats.org/officeDocument/2006/relationships" r:id="docRId23" o:title=""/>
          </v:rect>
          <o:OLEObject xmlns:r="http://schemas.openxmlformats.org/officeDocument/2006/relationships" xmlns:o="urn:schemas-microsoft-com:office:office" Type="Embed" DrawAspect="Content" ObjectID="0000000011" ShapeID="rectole0000000011" r:id="docRId22"/>
        </w:object>
      </w:r>
      <w:r>
        <w:rPr>
          <w:rFonts w:ascii="Times New Roman" w:hAnsi="Times New Roman" w:cs="Times New Roman" w:eastAsia="Times New Roman"/>
          <w:color w:val="auto"/>
          <w:spacing w:val="0"/>
          <w:position w:val="0"/>
          <w:sz w:val="22"/>
          <w:shd w:fill="auto" w:val="clear"/>
        </w:rPr>
        <w:t xml:space="preserve">, the damped natural frequency of the system becomes </w:t>
      </w:r>
      <w:r>
        <w:object w:dxaOrig="1741" w:dyaOrig="445">
          <v:rect xmlns:o="urn:schemas-microsoft-com:office:office" xmlns:v="urn:schemas-microsoft-com:vml" id="rectole0000000012" style="width:87.050000pt;height:22.250000pt" o:preferrelative="t" o:ole="">
            <o:lock v:ext="edit"/>
            <v:imagedata xmlns:r="http://schemas.openxmlformats.org/officeDocument/2006/relationships" r:id="docRId25" o:title=""/>
          </v:rect>
          <o:OLEObject xmlns:r="http://schemas.openxmlformats.org/officeDocument/2006/relationships" xmlns:o="urn:schemas-microsoft-com:office:office" Type="Embed" DrawAspect="Content" ObjectID="0000000012" ShapeID="rectole0000000012" r:id="docRId24"/>
        </w:object>
      </w:r>
      <w:r>
        <w:rPr>
          <w:rFonts w:ascii="Times New Roman" w:hAnsi="Times New Roman" w:cs="Times New Roman" w:eastAsia="Times New Roman"/>
          <w:color w:val="auto"/>
          <w:spacing w:val="0"/>
          <w:position w:val="0"/>
          <w:sz w:val="22"/>
          <w:shd w:fill="auto" w:val="clear"/>
        </w:rPr>
        <w:t xml:space="preserve"> and the equivalent to Equation 7 is:</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object w:dxaOrig="4150" w:dyaOrig="810">
          <v:rect xmlns:o="urn:schemas-microsoft-com:office:office" xmlns:v="urn:schemas-microsoft-com:vml" id="rectole0000000013" style="width:207.500000pt;height:40.500000pt" o:preferrelative="t" o:ole="">
            <o:lock v:ext="edit"/>
            <v:imagedata xmlns:r="http://schemas.openxmlformats.org/officeDocument/2006/relationships" r:id="docRId27" o:title=""/>
          </v:rect>
          <o:OLEObject xmlns:r="http://schemas.openxmlformats.org/officeDocument/2006/relationships" xmlns:o="urn:schemas-microsoft-com:office:office" Type="Embed" DrawAspect="Content" ObjectID="0000000013" ShapeID="rectole0000000013" r:id="docRId26"/>
        </w:object>
      </w:r>
      <w:r>
        <w:rPr>
          <w:rFonts w:ascii="Times New Roman" w:hAnsi="Times New Roman" w:cs="Times New Roman" w:eastAsia="Times New Roman"/>
          <w:color w:val="auto"/>
          <w:spacing w:val="0"/>
          <w:position w:val="0"/>
          <w:sz w:val="22"/>
          <w:shd w:fill="auto" w:val="clear"/>
        </w:rPr>
        <w:tab/>
        <w:tab/>
        <w:tab/>
        <w:tab/>
        <w:tab/>
        <w:t xml:space="preserve">(Eq. 8)</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 case of an initial displacement u</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Figure 2 shows the behavior for several values of </w:t>
      </w:r>
      <w:r>
        <w:object w:dxaOrig="222" w:dyaOrig="323">
          <v:rect xmlns:o="urn:schemas-microsoft-com:office:office" xmlns:v="urn:schemas-microsoft-com:vml" id="rectole0000000014" style="width:11.100000pt;height:16.150000pt" o:preferrelative="t" o:ole="">
            <o:lock v:ext="edit"/>
            <v:imagedata xmlns:r="http://schemas.openxmlformats.org/officeDocument/2006/relationships" r:id="docRId29" o:title=""/>
          </v:rect>
          <o:OLEObject xmlns:r="http://schemas.openxmlformats.org/officeDocument/2006/relationships" xmlns:o="urn:schemas-microsoft-com:office:office" Type="Embed" DrawAspect="Content" ObjectID="0000000014" ShapeID="rectole0000000014" r:id="docRId28"/>
        </w:object>
      </w:r>
      <w:r>
        <w:rPr>
          <w:rFonts w:ascii="Times New Roman" w:hAnsi="Times New Roman" w:cs="Times New Roman" w:eastAsia="Times New Roman"/>
          <w:color w:val="auto"/>
          <w:spacing w:val="0"/>
          <w:position w:val="0"/>
          <w:sz w:val="22"/>
          <w:shd w:fill="auto" w:val="clear"/>
        </w:rPr>
        <w:t xml:space="preserve">. </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Effect of damping on free vibrations: (a) definition of critical damping; (b) calculation of damping from logarithmic decrement.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in Figure 2, one defines </w:t>
      </w:r>
      <w:r>
        <w:object w:dxaOrig="1518" w:dyaOrig="688">
          <v:rect xmlns:o="urn:schemas-microsoft-com:office:office" xmlns:v="urn:schemas-microsoft-com:vml" id="rectole0000000015" style="width:75.900000pt;height:34.400000pt" o:preferrelative="t" o:ole="">
            <o:lock v:ext="edit"/>
            <v:imagedata xmlns:r="http://schemas.openxmlformats.org/officeDocument/2006/relationships" r:id="docRId31" o:title=""/>
          </v:rect>
          <o:OLEObject xmlns:r="http://schemas.openxmlformats.org/officeDocument/2006/relationships" xmlns:o="urn:schemas-microsoft-com:office:office" Type="Embed" DrawAspect="Content" ObjectID="0000000015" ShapeID="rectole0000000015" r:id="docRId30"/>
        </w:object>
      </w:r>
      <w:r>
        <w:rPr>
          <w:rFonts w:ascii="Times New Roman" w:hAnsi="Times New Roman" w:cs="Times New Roman" w:eastAsia="Times New Roman"/>
          <w:color w:val="auto"/>
          <w:spacing w:val="0"/>
          <w:position w:val="0"/>
          <w:sz w:val="22"/>
          <w:shd w:fill="auto" w:val="clear"/>
        </w:rPr>
        <w:t xml:space="preserve">, where </w:t>
      </w:r>
      <w:r>
        <w:rPr>
          <w:rFonts w:ascii="Times New Roman" w:hAnsi="Times New Roman" w:cs="Times New Roman" w:eastAsia="Times New Roman"/>
          <w:i/>
          <w:color w:val="auto"/>
          <w:spacing w:val="0"/>
          <w:position w:val="0"/>
          <w:sz w:val="22"/>
          <w:shd w:fill="auto" w:val="clear"/>
        </w:rPr>
        <w:t xml:space="preserve">u</w:t>
      </w:r>
      <w:r>
        <w:rPr>
          <w:rFonts w:ascii="Times New Roman" w:hAnsi="Times New Roman" w:cs="Times New Roman" w:eastAsia="Times New Roman"/>
          <w:i/>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u</w:t>
      </w:r>
      <w:r>
        <w:rPr>
          <w:rFonts w:ascii="Times New Roman" w:hAnsi="Times New Roman" w:cs="Times New Roman" w:eastAsia="Times New Roman"/>
          <w:i/>
          <w:color w:val="auto"/>
          <w:spacing w:val="0"/>
          <w:position w:val="0"/>
          <w:sz w:val="22"/>
          <w:shd w:fill="auto" w:val="clear"/>
          <w:vertAlign w:val="subscript"/>
        </w:rPr>
        <w:t xml:space="preserve">n+</w:t>
      </w:r>
      <w:r>
        <w:rPr>
          <w:rFonts w:ascii="Times New Roman" w:hAnsi="Times New Roman" w:cs="Times New Roman" w:eastAsia="Times New Roman"/>
          <w:i/>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are the displacement in successive cycles, then:</w:t>
      </w: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object w:dxaOrig="2530" w:dyaOrig="1296">
          <v:rect xmlns:o="urn:schemas-microsoft-com:office:office" xmlns:v="urn:schemas-microsoft-com:vml" id="rectole0000000016" style="width:126.500000pt;height:64.800000pt" o:preferrelative="t" o:ole="">
            <o:lock v:ext="edit"/>
            <v:imagedata xmlns:r="http://schemas.openxmlformats.org/officeDocument/2006/relationships" r:id="docRId33" o:title=""/>
          </v:rect>
          <o:OLEObject xmlns:r="http://schemas.openxmlformats.org/officeDocument/2006/relationships" xmlns:o="urn:schemas-microsoft-com:office:office" Type="Embed" DrawAspect="Content" ObjectID="0000000016" ShapeID="rectole0000000016" r:id="docRId32"/>
        </w:object>
      </w:r>
      <w:r>
        <w:rPr>
          <w:rFonts w:ascii="Times New Roman" w:hAnsi="Times New Roman" w:cs="Times New Roman" w:eastAsia="Times New Roman"/>
          <w:color w:val="auto"/>
          <w:spacing w:val="0"/>
          <w:position w:val="0"/>
          <w:sz w:val="22"/>
          <w:shd w:fill="auto" w:val="clear"/>
        </w:rPr>
        <w:t xml:space="preserve">       </w:t>
        <w:tab/>
        <w:tab/>
        <w:tab/>
        <w:t xml:space="preserve">   (Eq. 9)</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Going back to Equation 1, if the ground motion is taken as the sinusoidal function </w:t>
      </w:r>
      <w:r>
        <w:object w:dxaOrig="1296" w:dyaOrig="384">
          <v:rect xmlns:o="urn:schemas-microsoft-com:office:office" xmlns:v="urn:schemas-microsoft-com:vml" id="rectole0000000017" style="width:64.800000pt;height:19.200000pt" o:preferrelative="t" o:ole="">
            <o:lock v:ext="edit"/>
            <v:imagedata xmlns:r="http://schemas.openxmlformats.org/officeDocument/2006/relationships" r:id="docRId35" o:title=""/>
          </v:rect>
          <o:OLEObject xmlns:r="http://schemas.openxmlformats.org/officeDocument/2006/relationships" xmlns:o="urn:schemas-microsoft-com:office:office" Type="Embed" DrawAspect="Content" ObjectID="0000000017" ShapeID="rectole0000000017" r:id="docRId34"/>
        </w:object>
      </w:r>
      <w:r>
        <w:rPr>
          <w:rFonts w:ascii="Times New Roman" w:hAnsi="Times New Roman" w:cs="Times New Roman" w:eastAsia="Times New Roman"/>
          <w:color w:val="auto"/>
          <w:spacing w:val="0"/>
          <w:position w:val="0"/>
          <w:sz w:val="22"/>
          <w:shd w:fill="auto" w:val="clear"/>
        </w:rPr>
        <w:t xml:space="preserve">, the analogue of Equation 8 is: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object w:dxaOrig="3664" w:dyaOrig="1903">
          <v:rect xmlns:o="urn:schemas-microsoft-com:office:office" xmlns:v="urn:schemas-microsoft-com:vml" id="rectole0000000018" style="width:183.200000pt;height:95.150000pt" o:preferrelative="t" o:ole="">
            <o:lock v:ext="edit"/>
            <v:imagedata xmlns:r="http://schemas.openxmlformats.org/officeDocument/2006/relationships" r:id="docRId37" o:title=""/>
          </v:rect>
          <o:OLEObject xmlns:r="http://schemas.openxmlformats.org/officeDocument/2006/relationships" xmlns:o="urn:schemas-microsoft-com:office:office" Type="Embed" DrawAspect="Content" ObjectID="0000000018" ShapeID="rectole0000000018" r:id="docRId36"/>
        </w:object>
      </w:r>
      <w:r>
        <w:rPr>
          <w:rFonts w:ascii="Times New Roman" w:hAnsi="Times New Roman" w:cs="Times New Roman" w:eastAsia="Times New Roman"/>
          <w:color w:val="auto"/>
          <w:spacing w:val="0"/>
          <w:position w:val="0"/>
          <w:sz w:val="22"/>
          <w:shd w:fill="auto" w:val="clear"/>
        </w:rPr>
        <w:t xml:space="preserve">        </w:t>
        <w:tab/>
        <w:tab/>
        <w:tab/>
        <w:t xml:space="preserve">  (Eq. 10)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w:t>
      </w:r>
      <w:r>
        <w:object w:dxaOrig="181" w:dyaOrig="323">
          <v:rect xmlns:o="urn:schemas-microsoft-com:office:office" xmlns:v="urn:schemas-microsoft-com:vml" id="rectole0000000019" style="width:9.050000pt;height:16.150000pt" o:preferrelative="t" o:ole="">
            <o:lock v:ext="edit"/>
            <v:imagedata xmlns:r="http://schemas.openxmlformats.org/officeDocument/2006/relationships" r:id="docRId39" o:title=""/>
          </v:rect>
          <o:OLEObject xmlns:r="http://schemas.openxmlformats.org/officeDocument/2006/relationships" xmlns:o="urn:schemas-microsoft-com:office:office" Type="Embed" DrawAspect="Content" ObjectID="0000000019" ShapeID="rectole0000000019" r:id="docRId38"/>
        </w:object>
      </w:r>
      <w:r>
        <w:rPr>
          <w:rFonts w:ascii="Times New Roman" w:hAnsi="Times New Roman" w:cs="Times New Roman" w:eastAsia="Times New Roman"/>
          <w:color w:val="auto"/>
          <w:spacing w:val="0"/>
          <w:position w:val="0"/>
          <w:sz w:val="22"/>
          <w:shd w:fill="auto" w:val="clear"/>
        </w:rPr>
        <w:t xml:space="preserve"> is the phase lag, and </w:t>
      </w:r>
      <w:r>
        <w:rPr>
          <w:rFonts w:ascii="Times New Roman" w:hAnsi="Times New Roman" w:cs="Times New Roman" w:eastAsia="Times New Roman"/>
          <w:i/>
          <w:color w:val="auto"/>
          <w:spacing w:val="0"/>
          <w:position w:val="0"/>
          <w:sz w:val="22"/>
          <w:shd w:fill="auto" w:val="clear"/>
        </w:rPr>
        <w:t xml:space="preserve">R</w:t>
      </w:r>
      <w:r>
        <w:rPr>
          <w:rFonts w:ascii="Times New Roman" w:hAnsi="Times New Roman" w:cs="Times New Roman" w:eastAsia="Times New Roman"/>
          <w:i/>
          <w:color w:val="auto"/>
          <w:spacing w:val="0"/>
          <w:position w:val="0"/>
          <w:sz w:val="22"/>
          <w:shd w:fill="auto" w:val="clear"/>
          <w:vertAlign w:val="subscript"/>
        </w:rPr>
        <w:t xml:space="preserve">a</w:t>
      </w:r>
      <w:r>
        <w:rPr>
          <w:rFonts w:ascii="Times New Roman" w:hAnsi="Times New Roman" w:cs="Times New Roman" w:eastAsia="Times New Roman"/>
          <w:color w:val="auto"/>
          <w:spacing w:val="0"/>
          <w:position w:val="0"/>
          <w:sz w:val="22"/>
          <w:shd w:fill="auto" w:val="clear"/>
        </w:rPr>
        <w:t xml:space="preserve"> is the acceleration response factor, whose plots are illustrated in Figure 3. Figure 3 shows that for low values of damping (</w:t>
      </w:r>
      <w:r>
        <w:object w:dxaOrig="222" w:dyaOrig="323">
          <v:rect xmlns:o="urn:schemas-microsoft-com:office:office" xmlns:v="urn:schemas-microsoft-com:vml" id="rectole0000000020" style="width:11.100000pt;height:16.150000pt" o:preferrelative="t" o:ole="">
            <o:lock v:ext="edit"/>
            <v:imagedata xmlns:r="http://schemas.openxmlformats.org/officeDocument/2006/relationships" r:id="docRId41" o:title=""/>
          </v:rect>
          <o:OLEObject xmlns:r="http://schemas.openxmlformats.org/officeDocument/2006/relationships" xmlns:o="urn:schemas-microsoft-com:office:office" Type="Embed" DrawAspect="Content" ObjectID="0000000020" ShapeID="rectole0000000020" r:id="docRId40"/>
        </w:object>
      </w:r>
      <w:r>
        <w:rPr>
          <w:rFonts w:ascii="Times New Roman" w:hAnsi="Times New Roman" w:cs="Times New Roman" w:eastAsia="Times New Roman"/>
          <w:color w:val="auto"/>
          <w:spacing w:val="0"/>
          <w:position w:val="0"/>
          <w:sz w:val="22"/>
          <w:shd w:fill="auto" w:val="clear"/>
        </w:rPr>
        <w:t xml:space="preserve">&amp;lt;0.2), as the frequency of the forcing function approaches the natural frequency of the system, the response of the system becomes unstable, a phenomenon that is commonly referred to as resonance.</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Displacement, velocity and acceleration response.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lab, we will experimentally investigate the concepts and derivations behind Equations 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10 in the context of the dynamics of structures using a shake table.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Models</w:t>
      </w: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spacing w:before="0" w:after="0" w:line="240"/>
        <w:ind w:right="0" w:left="773" w:hanging="77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First construct several structures using very thin, strong, rectangular, T6011 aluminum beams, 1/32 in. in width and having different lengths. To build the first model, insert one single cantilever with length of 12 in. to a very rigid wood block. Place a mass of 0.25 lb. to the tip of the cantilever. </w:t>
      </w:r>
    </w:p>
    <w:p>
      <w:pPr>
        <w:spacing w:before="0" w:after="0" w:line="240"/>
        <w:ind w:right="0" w:left="773" w:hanging="77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Similarly, build three other model structures by attaching four cantilevers with lengths of 18, 24, 30 and 36 inches to the same rigid wood block. Attach a 0.10 lbs. mass to the tip of each cantilever.</w:t>
      </w:r>
    </w:p>
    <w:p>
      <w:pPr>
        <w:spacing w:before="0" w:after="0" w:line="240"/>
        <w:ind w:right="0" w:left="773" w:hanging="773"/>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Prepare two other specimens simulating simple frame structures with flexible columns and rigid floors. These can be built of thin steel plates and rigid acrylic floor diaphragms. One structure will be a one-story and the other will be two stories. The floor diaphragms will be instrumented with accelerometers.</w:t>
      </w:r>
    </w:p>
    <w:p>
      <w:pPr>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Apparatus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these demonstrations a small, table top, electrically actuated, single degree of freedom shake table will be used.  The apparatus consists basically of a small metal table riding on two guiding rails that is displaced by an electric motor. The displacement is digitally controlled by a computer that can input periodic (sine waves) or random accelerations (preprogrammed earthquake ground acceleration time histories).  All control is through proprietary software or MatLab and Si mulLink type software.  The input forcing function can be checked by comparing it to the output of an accelerometer attached to the table.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Procedure</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810" w:hanging="81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Carefully mount the model with four cantilevers to the shake table, using bolts attached to the model’s base. Turn on the shake table and using the software, slowly increase the frequency until the maximum response of the structure is obtained for each cantilever. Note that each cantilever enters resonance at a particular frequency. Record in a notebook the value of this frequency. Continue increasing the frequency until the displacements of all cantilevers reduce significantly. </w:t>
      </w:r>
    </w:p>
    <w:p>
      <w:pPr>
        <w:spacing w:before="0" w:after="0" w:line="240"/>
        <w:ind w:right="0" w:left="810" w:hanging="81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Mount the one-story model structure to the shake table and repeat the procedure. Slowly sweep through frequencies until resonance is reached.  Reset the software to run a typical ground acceleration time history (1940 El Centro) to show the random motions that occur during an earthquake. </w:t>
      </w:r>
    </w:p>
    <w:p>
      <w:pPr>
        <w:spacing w:before="0" w:after="0" w:line="240"/>
        <w:ind w:right="0" w:left="810" w:hanging="81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Mount the two-story structure to the shake table and repeat the procedure. Note that two natural frequencies occur in this case.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First, determine the frequency () at which the maximum displacement occurred for each model. </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The original simple formula discussed above,</w:t>
      </w:r>
      <w:r>
        <w:rPr>
          <w:rFonts w:ascii="Times New Roman" w:hAnsi="Times New Roman" w:cs="Times New Roman" w:eastAsia="Times New Roman"/>
          <w:i/>
          <w:color w:val="auto"/>
          <w:spacing w:val="0"/>
          <w:position w:val="0"/>
          <w:sz w:val="22"/>
          <w:shd w:fill="auto" w:val="clear"/>
        </w:rPr>
        <w:t xml:space="preserve"> </w:t>
      </w:r>
      <w:r>
        <w:object w:dxaOrig="870" w:dyaOrig="445">
          <v:rect xmlns:o="urn:schemas-microsoft-com:office:office" xmlns:v="urn:schemas-microsoft-com:vml" id="rectole0000000021" style="width:43.500000pt;height:22.250000pt" o:preferrelative="t" o:ole="">
            <o:lock v:ext="edit"/>
            <v:imagedata xmlns:r="http://schemas.openxmlformats.org/officeDocument/2006/relationships" r:id="docRId43" o:title=""/>
          </v:rect>
          <o:OLEObject xmlns:r="http://schemas.openxmlformats.org/officeDocument/2006/relationships" xmlns:o="urn:schemas-microsoft-com:office:office" Type="Embed" DrawAspect="Content" ObjectID="0000000021" ShapeID="rectole0000000021" r:id="docRId42"/>
        </w:objec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needs to be modified because the mass of the beam itself (</w:t>
      </w: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i/>
          <w:color w:val="auto"/>
          <w:spacing w:val="0"/>
          <w:position w:val="0"/>
          <w:sz w:val="22"/>
          <w:shd w:fill="auto" w:val="clear"/>
          <w:vertAlign w:val="subscript"/>
        </w:rPr>
        <w:t xml:space="preserve">b</w:t>
      </w:r>
      <w:r>
        <w:rPr>
          <w:rFonts w:ascii="Times New Roman" w:hAnsi="Times New Roman" w:cs="Times New Roman" w:eastAsia="Times New Roman"/>
          <w:i/>
          <w:color w:val="auto"/>
          <w:spacing w:val="0"/>
          <w:position w:val="0"/>
          <w:sz w:val="22"/>
          <w:shd w:fill="auto" w:val="clear"/>
        </w:rPr>
        <w:t xml:space="preserve"> = W</w:t>
      </w:r>
      <w:r>
        <w:rPr>
          <w:rFonts w:ascii="Times New Roman" w:hAnsi="Times New Roman" w:cs="Times New Roman" w:eastAsia="Times New Roman"/>
          <w:i/>
          <w:color w:val="auto"/>
          <w:spacing w:val="0"/>
          <w:position w:val="0"/>
          <w:sz w:val="22"/>
          <w:shd w:fill="auto" w:val="clear"/>
          <w:vertAlign w:val="subscript"/>
        </w:rPr>
        <w:t xml:space="preserve">beam</w:t>
      </w:r>
      <w:r>
        <w:rPr>
          <w:rFonts w:ascii="Times New Roman" w:hAnsi="Times New Roman" w:cs="Times New Roman" w:eastAsia="Times New Roman"/>
          <w:i/>
          <w:color w:val="auto"/>
          <w:spacing w:val="0"/>
          <w:position w:val="0"/>
          <w:sz w:val="22"/>
          <w:shd w:fill="auto" w:val="clear"/>
        </w:rPr>
        <w:t xml:space="preserve">/g</w:t>
      </w:r>
      <w:r>
        <w:rPr>
          <w:rFonts w:ascii="Times New Roman" w:hAnsi="Times New Roman" w:cs="Times New Roman" w:eastAsia="Times New Roman"/>
          <w:color w:val="auto"/>
          <w:spacing w:val="0"/>
          <w:position w:val="0"/>
          <w:sz w:val="22"/>
          <w:shd w:fill="auto" w:val="clear"/>
        </w:rPr>
        <w:t xml:space="preserve">), which is distributed over its height, is not negligible compared with the mass at the top (</w:t>
      </w:r>
      <w:r>
        <w:rPr>
          <w:rFonts w:ascii="Times New Roman" w:hAnsi="Times New Roman" w:cs="Times New Roman" w:eastAsia="Times New Roman"/>
          <w:i/>
          <w:color w:val="auto"/>
          <w:spacing w:val="0"/>
          <w:position w:val="0"/>
          <w:sz w:val="22"/>
          <w:shd w:fill="auto" w:val="clear"/>
        </w:rPr>
        <w:t xml:space="preserve">m = W</w:t>
      </w:r>
      <w:r>
        <w:rPr>
          <w:rFonts w:ascii="Times New Roman" w:hAnsi="Times New Roman" w:cs="Times New Roman" w:eastAsia="Times New Roman"/>
          <w:i/>
          <w:color w:val="auto"/>
          <w:spacing w:val="0"/>
          <w:position w:val="0"/>
          <w:sz w:val="22"/>
          <w:shd w:fill="auto" w:val="clear"/>
          <w:vertAlign w:val="subscript"/>
        </w:rPr>
        <w:t xml:space="preserve">block</w:t>
      </w:r>
      <w:r>
        <w:rPr>
          <w:rFonts w:ascii="Times New Roman" w:hAnsi="Times New Roman" w:cs="Times New Roman" w:eastAsia="Times New Roman"/>
          <w:i/>
          <w:color w:val="auto"/>
          <w:spacing w:val="0"/>
          <w:position w:val="0"/>
          <w:sz w:val="22"/>
          <w:shd w:fill="auto" w:val="clear"/>
        </w:rPr>
        <w:t xml:space="preserve">/g</w:t>
      </w:r>
      <w:r>
        <w:rPr>
          <w:rFonts w:ascii="Times New Roman" w:hAnsi="Times New Roman" w:cs="Times New Roman" w:eastAsia="Times New Roman"/>
          <w:color w:val="auto"/>
          <w:spacing w:val="0"/>
          <w:position w:val="0"/>
          <w:sz w:val="22"/>
          <w:shd w:fill="auto" w:val="clear"/>
        </w:rPr>
        <w:t xml:space="preserve">).  The equivalent mass for the case of a cantilever beam is (</w:t>
      </w:r>
      <w:r>
        <w:rPr>
          <w:rFonts w:ascii="Times New Roman" w:hAnsi="Times New Roman" w:cs="Times New Roman" w:eastAsia="Times New Roman"/>
          <w:i/>
          <w:color w:val="auto"/>
          <w:spacing w:val="0"/>
          <w:position w:val="0"/>
          <w:sz w:val="22"/>
          <w:shd w:fill="auto" w:val="clear"/>
        </w:rPr>
        <w:t xml:space="preserve">m+0.23m</w:t>
      </w:r>
      <w:r>
        <w:rPr>
          <w:rFonts w:ascii="Times New Roman" w:hAnsi="Times New Roman" w:cs="Times New Roman" w:eastAsia="Times New Roman"/>
          <w:i/>
          <w:color w:val="auto"/>
          <w:spacing w:val="0"/>
          <w:position w:val="0"/>
          <w:sz w:val="22"/>
          <w:shd w:fill="auto" w:val="clear"/>
          <w:vertAlign w:val="subscript"/>
        </w:rPr>
        <w:t xml:space="preserve">b</w:t>
      </w:r>
      <w:r>
        <w:rPr>
          <w:rFonts w:ascii="Times New Roman" w:hAnsi="Times New Roman" w:cs="Times New Roman" w:eastAsia="Times New Roman"/>
          <w:color w:val="auto"/>
          <w:spacing w:val="0"/>
          <w:position w:val="0"/>
          <w:sz w:val="22"/>
          <w:shd w:fill="auto" w:val="clear"/>
        </w:rPr>
        <w:t xml:space="preserve">), where </w:t>
      </w: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rPr>
        <w:t xml:space="preserve"> is the mass at the top and </w:t>
      </w: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i/>
          <w:color w:val="auto"/>
          <w:spacing w:val="0"/>
          <w:position w:val="0"/>
          <w:sz w:val="22"/>
          <w:shd w:fill="auto" w:val="clear"/>
          <w:vertAlign w:val="subscript"/>
        </w:rPr>
        <w:t xml:space="preserve">b</w:t>
      </w:r>
      <w:r>
        <w:rPr>
          <w:rFonts w:ascii="Times New Roman" w:hAnsi="Times New Roman" w:cs="Times New Roman" w:eastAsia="Times New Roman"/>
          <w:color w:val="auto"/>
          <w:spacing w:val="0"/>
          <w:position w:val="0"/>
          <w:sz w:val="22"/>
          <w:shd w:fill="auto" w:val="clear"/>
        </w:rPr>
        <w:t xml:space="preserve"> is the distributed mass of the beam. The stiffness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is given by the reciprocal of the deformation () caused at the top of the cantilever by a unit force:</w:t>
      </w:r>
    </w:p>
    <w:p>
      <w:pPr>
        <w:spacing w:before="0" w:after="0" w:line="240"/>
        <w:ind w:right="0" w:left="81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8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 xml:space="preserve">                                                             (Eq. 11)</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rPr>
        <w:t xml:space="preserve"> is the length of the beam, </w:t>
      </w:r>
      <w:r>
        <w:rPr>
          <w:rFonts w:ascii="Times New Roman" w:hAnsi="Times New Roman" w:cs="Times New Roman" w:eastAsia="Times New Roman"/>
          <w:i/>
          <w:color w:val="auto"/>
          <w:spacing w:val="0"/>
          <w:position w:val="0"/>
          <w:sz w:val="22"/>
          <w:shd w:fill="auto" w:val="clear"/>
        </w:rPr>
        <w:t xml:space="preserve">E</w:t>
      </w:r>
      <w:r>
        <w:rPr>
          <w:rFonts w:ascii="Times New Roman" w:hAnsi="Times New Roman" w:cs="Times New Roman" w:eastAsia="Times New Roman"/>
          <w:color w:val="auto"/>
          <w:spacing w:val="0"/>
          <w:position w:val="0"/>
          <w:sz w:val="22"/>
          <w:shd w:fill="auto" w:val="clear"/>
        </w:rPr>
        <w:t xml:space="preserve"> is the modulus of elasticity, and </w:t>
      </w:r>
      <w:r>
        <w:rPr>
          <w:rFonts w:ascii="Times New Roman" w:hAnsi="Times New Roman" w:cs="Times New Roman" w:eastAsia="Times New Roman"/>
          <w:i/>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 xml:space="preserve"> is the moment of inertia. </w:t>
      </w:r>
      <w:r>
        <w:rPr>
          <w:rFonts w:ascii="Times New Roman" w:hAnsi="Times New Roman" w:cs="Times New Roman" w:eastAsia="Times New Roman"/>
          <w:i/>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 xml:space="preserve"> is given by , where </w:t>
      </w:r>
      <w:r>
        <w:rPr>
          <w:rFonts w:ascii="Times New Roman" w:hAnsi="Times New Roman" w:cs="Times New Roman" w:eastAsia="Times New Roman"/>
          <w:i/>
          <w:color w:val="auto"/>
          <w:spacing w:val="0"/>
          <w:position w:val="0"/>
          <w:sz w:val="22"/>
          <w:shd w:fill="auto" w:val="clear"/>
        </w:rPr>
        <w:t xml:space="preserve">b</w:t>
      </w:r>
      <w:r>
        <w:rPr>
          <w:rFonts w:ascii="Times New Roman" w:hAnsi="Times New Roman" w:cs="Times New Roman" w:eastAsia="Times New Roman"/>
          <w:color w:val="auto"/>
          <w:spacing w:val="0"/>
          <w:position w:val="0"/>
          <w:sz w:val="22"/>
          <w:shd w:fill="auto" w:val="clear"/>
        </w:rPr>
        <w:t xml:space="preserve"> is the width and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is the thickness of the beam. Thus, the natural circular frequency of a cantilever beam, including its self-weight is:</w:t>
      </w:r>
    </w:p>
    <w:p>
      <w:pPr>
        <w:spacing w:before="0" w:after="0" w:line="240"/>
        <w:ind w:right="0" w:left="81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8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                                                (Eq.12)</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Based on this equation, the predicted natural frequencies are calculated in the Table 1.</w:t>
      </w:r>
    </w:p>
    <w:tbl>
      <w:tblPr/>
      <w:tblGrid>
        <w:gridCol w:w="919"/>
        <w:gridCol w:w="810"/>
        <w:gridCol w:w="745"/>
        <w:gridCol w:w="751"/>
        <w:gridCol w:w="1080"/>
        <w:gridCol w:w="810"/>
        <w:gridCol w:w="900"/>
        <w:gridCol w:w="900"/>
        <w:gridCol w:w="1080"/>
        <w:gridCol w:w="1170"/>
      </w:tblGrid>
      <w:tr>
        <w:trPr>
          <w:trHeight w:val="1320" w:hRule="auto"/>
          <w:jc w:val="left"/>
        </w:trPr>
        <w:tc>
          <w:tcPr>
            <w:tcW w:w="919" w:type="dxa"/>
            <w:tcBorders>
              <w:top w:val="single" w:color="000000" w:sz="12"/>
              <w:left w:val="single" w:color="000000" w:sz="12"/>
              <w:bottom w:val="single" w:color="000000" w:sz="0"/>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Beam Number</w:t>
            </w:r>
          </w:p>
        </w:tc>
        <w:tc>
          <w:tcPr>
            <w:tcW w:w="810" w:type="dxa"/>
            <w:tcBorders>
              <w:top w:val="single" w:color="000000" w:sz="12"/>
              <w:left w:val="single" w:color="000000" w:sz="0"/>
              <w:bottom w:val="single" w:color="000000" w:sz="0"/>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Length (in)</w:t>
            </w:r>
          </w:p>
        </w:tc>
        <w:tc>
          <w:tcPr>
            <w:tcW w:w="745" w:type="dxa"/>
            <w:tcBorders>
              <w:top w:val="single" w:color="000000" w:sz="12"/>
              <w:left w:val="single" w:color="000000" w:sz="0"/>
              <w:bottom w:val="single" w:color="000000" w:sz="0"/>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Width (in.)</w:t>
            </w:r>
          </w:p>
        </w:tc>
        <w:tc>
          <w:tcPr>
            <w:tcW w:w="751" w:type="dxa"/>
            <w:tcBorders>
              <w:top w:val="single" w:color="000000" w:sz="12"/>
              <w:left w:val="single" w:color="000000" w:sz="0"/>
              <w:bottom w:val="single" w:color="000000" w:sz="0"/>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Thick. (in.)</w:t>
            </w:r>
          </w:p>
        </w:tc>
        <w:tc>
          <w:tcPr>
            <w:tcW w:w="1080" w:type="dxa"/>
            <w:tcBorders>
              <w:top w:val="single" w:color="000000" w:sz="12"/>
              <w:left w:val="single" w:color="000000" w:sz="0"/>
              <w:bottom w:val="single" w:color="000000" w:sz="0"/>
              <w:right w:val="single" w:color="000000" w:sz="4"/>
            </w:tcBorders>
            <w:shd w:color="auto" w:fill="auto"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 </w:t>
            </w:r>
          </w:p>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(in.4)</w:t>
            </w:r>
          </w:p>
        </w:tc>
        <w:tc>
          <w:tcPr>
            <w:tcW w:w="810" w:type="dxa"/>
            <w:tcBorders>
              <w:top w:val="single" w:color="000000" w:sz="12"/>
              <w:left w:val="single" w:color="000000" w:sz="0"/>
              <w:bottom w:val="single" w:color="000000" w:sz="0"/>
              <w:right w:val="single" w:color="000000" w:sz="4"/>
            </w:tcBorders>
            <w:shd w:color="auto" w:fill="auto"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E </w:t>
            </w:r>
          </w:p>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(ksi)</w:t>
            </w:r>
          </w:p>
        </w:tc>
        <w:tc>
          <w:tcPr>
            <w:tcW w:w="900" w:type="dxa"/>
            <w:tcBorders>
              <w:top w:val="single" w:color="000000" w:sz="12"/>
              <w:left w:val="single" w:color="000000" w:sz="0"/>
              <w:bottom w:val="single" w:color="000000" w:sz="0"/>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Weight (lbs)</w:t>
            </w:r>
          </w:p>
        </w:tc>
        <w:tc>
          <w:tcPr>
            <w:tcW w:w="900" w:type="dxa"/>
            <w:tcBorders>
              <w:top w:val="single" w:color="000000" w:sz="12"/>
              <w:left w:val="single" w:color="000000" w:sz="0"/>
              <w:bottom w:val="single" w:color="000000" w:sz="0"/>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Beam Weight (lbs.)</w:t>
            </w:r>
          </w:p>
        </w:tc>
        <w:tc>
          <w:tcPr>
            <w:tcW w:w="1080" w:type="dxa"/>
            <w:tcBorders>
              <w:top w:val="single" w:color="000000" w:sz="12"/>
              <w:left w:val="single" w:color="000000" w:sz="0"/>
              <w:bottom w:val="single" w:color="000000" w:sz="0"/>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Effective Mass (lbs-sec.2/in)</w:t>
            </w:r>
          </w:p>
        </w:tc>
        <w:tc>
          <w:tcPr>
            <w:tcW w:w="1170" w:type="dxa"/>
            <w:tcBorders>
              <w:top w:val="single" w:color="000000" w:sz="12"/>
              <w:left w:val="single" w:color="000000" w:sz="0"/>
              <w:bottom w:val="single" w:color="000000" w:sz="0"/>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Natural frequency (cycles per second)</w:t>
            </w:r>
          </w:p>
        </w:tc>
      </w:tr>
      <w:tr>
        <w:trPr>
          <w:trHeight w:val="340" w:hRule="auto"/>
          <w:jc w:val="left"/>
        </w:trPr>
        <w:tc>
          <w:tcPr>
            <w:tcW w:w="919" w:type="dxa"/>
            <w:tcBorders>
              <w:top w:val="single" w:color="000000" w:sz="12"/>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810" w:type="dxa"/>
            <w:tcBorders>
              <w:top w:val="single" w:color="000000" w:sz="12"/>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12.0</w:t>
            </w:r>
          </w:p>
        </w:tc>
        <w:tc>
          <w:tcPr>
            <w:tcW w:w="745" w:type="dxa"/>
            <w:tcBorders>
              <w:top w:val="single" w:color="000000" w:sz="12"/>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1.002</w:t>
            </w:r>
          </w:p>
        </w:tc>
        <w:tc>
          <w:tcPr>
            <w:tcW w:w="751" w:type="dxa"/>
            <w:tcBorders>
              <w:top w:val="single" w:color="000000" w:sz="12"/>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0.124</w:t>
            </w:r>
          </w:p>
        </w:tc>
        <w:tc>
          <w:tcPr>
            <w:tcW w:w="1080" w:type="dxa"/>
            <w:tcBorders>
              <w:top w:val="single" w:color="000000" w:sz="12"/>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1.59E-04</w:t>
            </w:r>
          </w:p>
        </w:tc>
        <w:tc>
          <w:tcPr>
            <w:tcW w:w="810" w:type="dxa"/>
            <w:tcBorders>
              <w:top w:val="single" w:color="000000" w:sz="12"/>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10200</w:t>
            </w:r>
          </w:p>
        </w:tc>
        <w:tc>
          <w:tcPr>
            <w:tcW w:w="900" w:type="dxa"/>
            <w:tcBorders>
              <w:top w:val="single" w:color="000000" w:sz="12"/>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0.147</w:t>
            </w:r>
          </w:p>
        </w:tc>
        <w:tc>
          <w:tcPr>
            <w:tcW w:w="900" w:type="dxa"/>
            <w:tcBorders>
              <w:top w:val="single" w:color="000000" w:sz="12"/>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0.149</w:t>
            </w:r>
          </w:p>
        </w:tc>
        <w:tc>
          <w:tcPr>
            <w:tcW w:w="1080" w:type="dxa"/>
            <w:tcBorders>
              <w:top w:val="single" w:color="000000" w:sz="12"/>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4.70E-04</w:t>
            </w:r>
          </w:p>
        </w:tc>
        <w:tc>
          <w:tcPr>
            <w:tcW w:w="1170" w:type="dxa"/>
            <w:tcBorders>
              <w:top w:val="single" w:color="000000" w:sz="12"/>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2.45</w:t>
            </w:r>
          </w:p>
        </w:tc>
      </w:tr>
      <w:tr>
        <w:trPr>
          <w:trHeight w:val="320" w:hRule="auto"/>
          <w:jc w:val="left"/>
        </w:trPr>
        <w:tc>
          <w:tcPr>
            <w:tcW w:w="919"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p>
        </w:tc>
        <w:tc>
          <w:tcPr>
            <w:tcW w:w="81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16.0</w:t>
            </w:r>
          </w:p>
        </w:tc>
        <w:tc>
          <w:tcPr>
            <w:tcW w:w="74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1.003</w:t>
            </w:r>
          </w:p>
        </w:tc>
        <w:tc>
          <w:tcPr>
            <w:tcW w:w="7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0.124</w:t>
            </w:r>
          </w:p>
        </w:tc>
        <w:tc>
          <w:tcPr>
            <w:tcW w:w="10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1.59E-04</w:t>
            </w:r>
          </w:p>
        </w:tc>
        <w:tc>
          <w:tcPr>
            <w:tcW w:w="81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10200</w:t>
            </w:r>
          </w:p>
        </w:tc>
        <w:tc>
          <w:tcPr>
            <w:tcW w:w="9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0.146</w:t>
            </w:r>
          </w:p>
        </w:tc>
        <w:tc>
          <w:tcPr>
            <w:tcW w:w="9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0.199</w:t>
            </w:r>
          </w:p>
        </w:tc>
        <w:tc>
          <w:tcPr>
            <w:tcW w:w="10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4.97E-04</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1.55</w:t>
            </w:r>
          </w:p>
        </w:tc>
      </w:tr>
      <w:tr>
        <w:trPr>
          <w:trHeight w:val="320" w:hRule="auto"/>
          <w:jc w:val="left"/>
        </w:trPr>
        <w:tc>
          <w:tcPr>
            <w:tcW w:w="919"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c>
          <w:tcPr>
            <w:tcW w:w="81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20.0</w:t>
            </w:r>
          </w:p>
        </w:tc>
        <w:tc>
          <w:tcPr>
            <w:tcW w:w="74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1.002</w:t>
            </w:r>
          </w:p>
        </w:tc>
        <w:tc>
          <w:tcPr>
            <w:tcW w:w="7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0.125</w:t>
            </w:r>
          </w:p>
        </w:tc>
        <w:tc>
          <w:tcPr>
            <w:tcW w:w="10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1.63E-04</w:t>
            </w:r>
          </w:p>
        </w:tc>
        <w:tc>
          <w:tcPr>
            <w:tcW w:w="81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10200</w:t>
            </w:r>
          </w:p>
        </w:tc>
        <w:tc>
          <w:tcPr>
            <w:tcW w:w="9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0.146</w:t>
            </w:r>
          </w:p>
        </w:tc>
        <w:tc>
          <w:tcPr>
            <w:tcW w:w="9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0.251</w:t>
            </w:r>
          </w:p>
        </w:tc>
        <w:tc>
          <w:tcPr>
            <w:tcW w:w="10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5.28E-04</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1.09</w:t>
            </w:r>
          </w:p>
        </w:tc>
      </w:tr>
      <w:tr>
        <w:trPr>
          <w:trHeight w:val="320" w:hRule="auto"/>
          <w:jc w:val="left"/>
        </w:trPr>
        <w:tc>
          <w:tcPr>
            <w:tcW w:w="919"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81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24.0</w:t>
            </w:r>
          </w:p>
        </w:tc>
        <w:tc>
          <w:tcPr>
            <w:tcW w:w="74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1.003</w:t>
            </w:r>
          </w:p>
        </w:tc>
        <w:tc>
          <w:tcPr>
            <w:tcW w:w="7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0.125</w:t>
            </w:r>
          </w:p>
        </w:tc>
        <w:tc>
          <w:tcPr>
            <w:tcW w:w="10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1.63E-04</w:t>
            </w:r>
          </w:p>
        </w:tc>
        <w:tc>
          <w:tcPr>
            <w:tcW w:w="81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10200</w:t>
            </w:r>
          </w:p>
        </w:tc>
        <w:tc>
          <w:tcPr>
            <w:tcW w:w="9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0.148</w:t>
            </w:r>
          </w:p>
        </w:tc>
        <w:tc>
          <w:tcPr>
            <w:tcW w:w="9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0.301</w:t>
            </w:r>
          </w:p>
        </w:tc>
        <w:tc>
          <w:tcPr>
            <w:tcW w:w="10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5.63E-04</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0.80</w:t>
            </w:r>
          </w:p>
        </w:tc>
      </w:tr>
      <w:tr>
        <w:trPr>
          <w:trHeight w:val="320" w:hRule="auto"/>
          <w:jc w:val="left"/>
        </w:trPr>
        <w:tc>
          <w:tcPr>
            <w:tcW w:w="919"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p>
        </w:tc>
        <w:tc>
          <w:tcPr>
            <w:tcW w:w="81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28.0</w:t>
            </w:r>
          </w:p>
        </w:tc>
        <w:tc>
          <w:tcPr>
            <w:tcW w:w="74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1.001</w:t>
            </w:r>
          </w:p>
        </w:tc>
        <w:tc>
          <w:tcPr>
            <w:tcW w:w="7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0.125</w:t>
            </w:r>
          </w:p>
        </w:tc>
        <w:tc>
          <w:tcPr>
            <w:tcW w:w="10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1.63E-04</w:t>
            </w:r>
          </w:p>
        </w:tc>
        <w:tc>
          <w:tcPr>
            <w:tcW w:w="81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10200</w:t>
            </w:r>
          </w:p>
        </w:tc>
        <w:tc>
          <w:tcPr>
            <w:tcW w:w="9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0.144</w:t>
            </w:r>
          </w:p>
        </w:tc>
        <w:tc>
          <w:tcPr>
            <w:tcW w:w="9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0.350</w:t>
            </w:r>
          </w:p>
        </w:tc>
        <w:tc>
          <w:tcPr>
            <w:tcW w:w="10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5.82E-04</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0.62</w:t>
            </w:r>
          </w:p>
        </w:tc>
      </w:tr>
      <w:tr>
        <w:trPr>
          <w:trHeight w:val="320" w:hRule="auto"/>
          <w:jc w:val="left"/>
        </w:trPr>
        <w:tc>
          <w:tcPr>
            <w:tcW w:w="919"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81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32.0</w:t>
            </w:r>
          </w:p>
        </w:tc>
        <w:tc>
          <w:tcPr>
            <w:tcW w:w="74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1.000</w:t>
            </w:r>
          </w:p>
        </w:tc>
        <w:tc>
          <w:tcPr>
            <w:tcW w:w="7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0.124</w:t>
            </w:r>
          </w:p>
        </w:tc>
        <w:tc>
          <w:tcPr>
            <w:tcW w:w="10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1.59E-04</w:t>
            </w:r>
          </w:p>
        </w:tc>
        <w:tc>
          <w:tcPr>
            <w:tcW w:w="81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10200</w:t>
            </w:r>
          </w:p>
        </w:tc>
        <w:tc>
          <w:tcPr>
            <w:tcW w:w="9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0.146</w:t>
            </w:r>
          </w:p>
        </w:tc>
        <w:tc>
          <w:tcPr>
            <w:tcW w:w="9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0.397</w:t>
            </w:r>
          </w:p>
        </w:tc>
        <w:tc>
          <w:tcPr>
            <w:tcW w:w="10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6.15E-04</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0.49</w:t>
            </w:r>
          </w:p>
        </w:tc>
      </w:tr>
      <w:tr>
        <w:trPr>
          <w:trHeight w:val="320" w:hRule="auto"/>
          <w:jc w:val="left"/>
        </w:trPr>
        <w:tc>
          <w:tcPr>
            <w:tcW w:w="919"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r>
          </w:p>
        </w:tc>
        <w:tc>
          <w:tcPr>
            <w:tcW w:w="81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36.0</w:t>
            </w:r>
          </w:p>
        </w:tc>
        <w:tc>
          <w:tcPr>
            <w:tcW w:w="74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1.002</w:t>
            </w:r>
          </w:p>
        </w:tc>
        <w:tc>
          <w:tcPr>
            <w:tcW w:w="75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0.126</w:t>
            </w:r>
          </w:p>
        </w:tc>
        <w:tc>
          <w:tcPr>
            <w:tcW w:w="10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1.67E-04</w:t>
            </w:r>
          </w:p>
        </w:tc>
        <w:tc>
          <w:tcPr>
            <w:tcW w:w="81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10200</w:t>
            </w:r>
          </w:p>
        </w:tc>
        <w:tc>
          <w:tcPr>
            <w:tcW w:w="9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0.147</w:t>
            </w:r>
          </w:p>
        </w:tc>
        <w:tc>
          <w:tcPr>
            <w:tcW w:w="9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0.455</w:t>
            </w:r>
          </w:p>
        </w:tc>
        <w:tc>
          <w:tcPr>
            <w:tcW w:w="108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6.52E-04</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0.41</w:t>
            </w:r>
          </w:p>
        </w:tc>
      </w:tr>
      <w:tr>
        <w:trPr>
          <w:trHeight w:val="340" w:hRule="auto"/>
          <w:jc w:val="left"/>
        </w:trPr>
        <w:tc>
          <w:tcPr>
            <w:tcW w:w="919" w:type="dxa"/>
            <w:tcBorders>
              <w:top w:val="single" w:color="000000" w:sz="0"/>
              <w:left w:val="single" w:color="000000" w:sz="12"/>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 </w:t>
            </w:r>
          </w:p>
        </w:tc>
        <w:tc>
          <w:tcPr>
            <w:tcW w:w="810"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40.00</w:t>
            </w:r>
          </w:p>
        </w:tc>
        <w:tc>
          <w:tcPr>
            <w:tcW w:w="745"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1.000</w:t>
            </w:r>
          </w:p>
        </w:tc>
        <w:tc>
          <w:tcPr>
            <w:tcW w:w="751"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0.125</w:t>
            </w:r>
          </w:p>
        </w:tc>
        <w:tc>
          <w:tcPr>
            <w:tcW w:w="1080"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1.63E-04</w:t>
            </w:r>
          </w:p>
        </w:tc>
        <w:tc>
          <w:tcPr>
            <w:tcW w:w="810"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10200</w:t>
            </w:r>
          </w:p>
        </w:tc>
        <w:tc>
          <w:tcPr>
            <w:tcW w:w="900"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0.148</w:t>
            </w:r>
          </w:p>
        </w:tc>
        <w:tc>
          <w:tcPr>
            <w:tcW w:w="900"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0.500</w:t>
            </w:r>
          </w:p>
        </w:tc>
        <w:tc>
          <w:tcPr>
            <w:tcW w:w="1080"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6.81E-04</w:t>
            </w:r>
          </w:p>
        </w:tc>
        <w:tc>
          <w:tcPr>
            <w:tcW w:w="1170"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0.34</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Natural frequencies of the cantilever beams tested.</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measured and the theoretical values of the normal frequency for our model systems are compared in the Table 2. The actual natural frequencies were computed by carefully displacing the cantilever beam by 1 inch and then looking at the displacement vs. time response.  The comparison below are made in terms of periods (T</w:t>
      </w:r>
      <w:r>
        <w:rPr>
          <w:rFonts w:ascii="Times New Roman" w:hAnsi="Times New Roman" w:cs="Times New Roman" w:eastAsia="Times New Roman"/>
          <w:color w:val="auto"/>
          <w:spacing w:val="0"/>
          <w:position w:val="0"/>
          <w:sz w:val="22"/>
          <w:shd w:fill="auto" w:val="clear"/>
          <w:vertAlign w:val="subscript"/>
        </w:rPr>
        <w:t xml:space="preserve">d , </w:t>
      </w:r>
      <w:r>
        <w:rPr>
          <w:rFonts w:ascii="Times New Roman" w:hAnsi="Times New Roman" w:cs="Times New Roman" w:eastAsia="Times New Roman"/>
          <w:color w:val="auto"/>
          <w:spacing w:val="0"/>
          <w:position w:val="0"/>
          <w:sz w:val="22"/>
          <w:shd w:fill="auto" w:val="clear"/>
        </w:rPr>
        <w:t xml:space="preserve">in sec.) as these were determined from T</w:t>
      </w:r>
      <w:r>
        <w:rPr>
          <w:rFonts w:ascii="Times New Roman" w:hAnsi="Times New Roman" w:cs="Times New Roman" w:eastAsia="Times New Roman"/>
          <w:color w:val="auto"/>
          <w:spacing w:val="0"/>
          <w:position w:val="0"/>
          <w:sz w:val="22"/>
          <w:shd w:fill="auto" w:val="clear"/>
          <w:vertAlign w:val="subscript"/>
        </w:rPr>
        <w:t xml:space="preserve">d </w:t>
      </w:r>
      <w:r>
        <w:rPr>
          <w:rFonts w:ascii="Times New Roman" w:hAnsi="Times New Roman" w:cs="Times New Roman" w:eastAsia="Times New Roman"/>
          <w:color w:val="auto"/>
          <w:spacing w:val="0"/>
          <w:position w:val="0"/>
          <w:sz w:val="22"/>
          <w:shd w:fill="auto" w:val="clear"/>
        </w:rPr>
        <w:t xml:space="preserve">= u</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-u</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as shown in Figure 2(b).  This requires care and patience to obtain reliable results.  The demonstrations shown were only meant to give an overall illustration of the system behavior.</w:t>
      </w:r>
    </w:p>
    <w:p>
      <w:pPr>
        <w:spacing w:before="0" w:after="0" w:line="240"/>
        <w:ind w:right="0" w:left="810" w:hanging="360"/>
        <w:jc w:val="center"/>
        <w:rPr>
          <w:rFonts w:ascii="Times New Roman" w:hAnsi="Times New Roman" w:cs="Times New Roman" w:eastAsia="Times New Roman"/>
          <w:i/>
          <w:color w:val="auto"/>
          <w:spacing w:val="0"/>
          <w:position w:val="0"/>
          <w:sz w:val="22"/>
          <w:shd w:fill="auto" w:val="clear"/>
        </w:rPr>
      </w:pPr>
    </w:p>
    <w:tbl>
      <w:tblPr/>
      <w:tblGrid>
        <w:gridCol w:w="1300"/>
        <w:gridCol w:w="1300"/>
        <w:gridCol w:w="1300"/>
        <w:gridCol w:w="1300"/>
        <w:gridCol w:w="1300"/>
      </w:tblGrid>
      <w:tr>
        <w:trPr>
          <w:trHeight w:val="1320" w:hRule="auto"/>
          <w:jc w:val="center"/>
        </w:trPr>
        <w:tc>
          <w:tcPr>
            <w:tcW w:w="1300" w:type="dxa"/>
            <w:tcBorders>
              <w:top w:val="single" w:color="000000" w:sz="12"/>
              <w:left w:val="single" w:color="000000" w:sz="12"/>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Beam Number</w:t>
            </w:r>
          </w:p>
        </w:tc>
        <w:tc>
          <w:tcPr>
            <w:tcW w:w="1300" w:type="dxa"/>
            <w:tcBorders>
              <w:top w:val="single" w:color="000000" w:sz="12"/>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Natural frequency (cycles per second)</w:t>
            </w:r>
          </w:p>
        </w:tc>
        <w:tc>
          <w:tcPr>
            <w:tcW w:w="1300" w:type="dxa"/>
            <w:tcBorders>
              <w:top w:val="single" w:color="000000" w:sz="12"/>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Predicted Period (sec.)</w:t>
            </w:r>
          </w:p>
        </w:tc>
        <w:tc>
          <w:tcPr>
            <w:tcW w:w="1300" w:type="dxa"/>
            <w:tcBorders>
              <w:top w:val="single" w:color="000000" w:sz="12"/>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Actual Period (sec.)</w:t>
            </w:r>
          </w:p>
        </w:tc>
        <w:tc>
          <w:tcPr>
            <w:tcW w:w="1300" w:type="dxa"/>
            <w:tcBorders>
              <w:top w:val="single" w:color="000000" w:sz="12"/>
              <w:left w:val="single" w:color="000000" w:sz="0"/>
              <w:bottom w:val="single" w:color="000000" w:sz="12"/>
              <w:right w:val="single" w:color="000000" w:sz="12"/>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Error (%)</w:t>
            </w:r>
          </w:p>
        </w:tc>
      </w:tr>
      <w:tr>
        <w:trPr>
          <w:trHeight w:val="340" w:hRule="auto"/>
          <w:jc w:val="center"/>
        </w:trPr>
        <w:tc>
          <w:tcPr>
            <w:tcW w:w="1300"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2.56</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2.65</w:t>
            </w:r>
          </w:p>
        </w:tc>
        <w:tc>
          <w:tcPr>
            <w:tcW w:w="1300" w:type="dxa"/>
            <w:tcBorders>
              <w:top w:val="single" w:color="000000" w:sz="0"/>
              <w:left w:val="single" w:color="000000" w:sz="0"/>
              <w:bottom w:val="single" w:color="000000" w:sz="4"/>
              <w:right w:val="single" w:color="000000" w:sz="12"/>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-3.33%</w:t>
            </w:r>
          </w:p>
        </w:tc>
      </w:tr>
      <w:tr>
        <w:trPr>
          <w:trHeight w:val="320" w:hRule="auto"/>
          <w:jc w:val="center"/>
        </w:trPr>
        <w:tc>
          <w:tcPr>
            <w:tcW w:w="1300"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4.06</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4.23</w:t>
            </w:r>
          </w:p>
        </w:tc>
        <w:tc>
          <w:tcPr>
            <w:tcW w:w="1300" w:type="dxa"/>
            <w:tcBorders>
              <w:top w:val="single" w:color="000000" w:sz="0"/>
              <w:left w:val="single" w:color="000000" w:sz="0"/>
              <w:bottom w:val="single" w:color="000000" w:sz="4"/>
              <w:right w:val="single" w:color="000000" w:sz="12"/>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-4.22%</w:t>
            </w:r>
          </w:p>
        </w:tc>
      </w:tr>
      <w:tr>
        <w:trPr>
          <w:trHeight w:val="320" w:hRule="auto"/>
          <w:jc w:val="center"/>
        </w:trPr>
        <w:tc>
          <w:tcPr>
            <w:tcW w:w="1300"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1.09</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5.78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6.79</w:t>
            </w:r>
          </w:p>
        </w:tc>
        <w:tc>
          <w:tcPr>
            <w:tcW w:w="1300" w:type="dxa"/>
            <w:tcBorders>
              <w:top w:val="single" w:color="000000" w:sz="0"/>
              <w:left w:val="single" w:color="000000" w:sz="0"/>
              <w:bottom w:val="single" w:color="000000" w:sz="4"/>
              <w:right w:val="single" w:color="000000" w:sz="12"/>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-17.52%</w:t>
            </w:r>
          </w:p>
        </w:tc>
      </w:tr>
      <w:tr>
        <w:trPr>
          <w:trHeight w:val="320" w:hRule="auto"/>
          <w:jc w:val="center"/>
        </w:trPr>
        <w:tc>
          <w:tcPr>
            <w:tcW w:w="1300"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0.80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7.84</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8.04</w:t>
            </w:r>
          </w:p>
        </w:tc>
        <w:tc>
          <w:tcPr>
            <w:tcW w:w="1300" w:type="dxa"/>
            <w:tcBorders>
              <w:top w:val="single" w:color="000000" w:sz="0"/>
              <w:left w:val="single" w:color="000000" w:sz="0"/>
              <w:bottom w:val="single" w:color="000000" w:sz="4"/>
              <w:right w:val="single" w:color="000000" w:sz="12"/>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-2.54%</w:t>
            </w:r>
          </w:p>
        </w:tc>
      </w:tr>
      <w:tr>
        <w:trPr>
          <w:trHeight w:val="320" w:hRule="auto"/>
          <w:jc w:val="center"/>
        </w:trPr>
        <w:tc>
          <w:tcPr>
            <w:tcW w:w="1300"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0.62</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10.06</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10.63</w:t>
            </w:r>
          </w:p>
        </w:tc>
        <w:tc>
          <w:tcPr>
            <w:tcW w:w="1300" w:type="dxa"/>
            <w:tcBorders>
              <w:top w:val="single" w:color="000000" w:sz="0"/>
              <w:left w:val="single" w:color="000000" w:sz="0"/>
              <w:bottom w:val="single" w:color="000000" w:sz="4"/>
              <w:right w:val="single" w:color="000000" w:sz="12"/>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-5.70%</w:t>
            </w:r>
          </w:p>
        </w:tc>
      </w:tr>
      <w:tr>
        <w:trPr>
          <w:trHeight w:val="320" w:hRule="auto"/>
          <w:jc w:val="center"/>
        </w:trPr>
        <w:tc>
          <w:tcPr>
            <w:tcW w:w="1300"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0.49</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12.79</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13.04</w:t>
            </w:r>
          </w:p>
        </w:tc>
        <w:tc>
          <w:tcPr>
            <w:tcW w:w="1300" w:type="dxa"/>
            <w:tcBorders>
              <w:top w:val="single" w:color="000000" w:sz="0"/>
              <w:left w:val="single" w:color="000000" w:sz="0"/>
              <w:bottom w:val="single" w:color="000000" w:sz="4"/>
              <w:right w:val="single" w:color="000000" w:sz="12"/>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-1.97%</w:t>
            </w:r>
          </w:p>
        </w:tc>
      </w:tr>
      <w:tr>
        <w:trPr>
          <w:trHeight w:val="320" w:hRule="auto"/>
          <w:jc w:val="center"/>
        </w:trPr>
        <w:tc>
          <w:tcPr>
            <w:tcW w:w="1300" w:type="dxa"/>
            <w:tcBorders>
              <w:top w:val="single" w:color="000000" w:sz="0"/>
              <w:left w:val="single" w:color="000000" w:sz="12"/>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0.41</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15.32</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16.78</w:t>
            </w:r>
          </w:p>
        </w:tc>
        <w:tc>
          <w:tcPr>
            <w:tcW w:w="1300" w:type="dxa"/>
            <w:tcBorders>
              <w:top w:val="single" w:color="000000" w:sz="0"/>
              <w:left w:val="single" w:color="000000" w:sz="0"/>
              <w:bottom w:val="single" w:color="000000" w:sz="4"/>
              <w:right w:val="single" w:color="000000" w:sz="12"/>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-9.50%</w:t>
            </w:r>
          </w:p>
        </w:tc>
      </w:tr>
      <w:tr>
        <w:trPr>
          <w:trHeight w:val="340" w:hRule="auto"/>
          <w:jc w:val="center"/>
        </w:trPr>
        <w:tc>
          <w:tcPr>
            <w:tcW w:w="1300" w:type="dxa"/>
            <w:tcBorders>
              <w:top w:val="single" w:color="000000" w:sz="0"/>
              <w:left w:val="single" w:color="000000" w:sz="12"/>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r>
          </w:p>
        </w:tc>
        <w:tc>
          <w:tcPr>
            <w:tcW w:w="1300"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0.34</w:t>
            </w:r>
          </w:p>
        </w:tc>
        <w:tc>
          <w:tcPr>
            <w:tcW w:w="1300"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18.59</w:t>
            </w:r>
          </w:p>
        </w:tc>
        <w:tc>
          <w:tcPr>
            <w:tcW w:w="1300"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20.56</w:t>
            </w:r>
          </w:p>
        </w:tc>
        <w:tc>
          <w:tcPr>
            <w:tcW w:w="1300" w:type="dxa"/>
            <w:tcBorders>
              <w:top w:val="single" w:color="000000" w:sz="0"/>
              <w:left w:val="single" w:color="000000" w:sz="0"/>
              <w:bottom w:val="single" w:color="000000" w:sz="12"/>
              <w:right w:val="single" w:color="000000" w:sz="12"/>
            </w:tcBorders>
            <w:shd w:color="auto" w:fill="auto" w:val="clear"/>
            <w:tcMar>
              <w:left w:w="108" w:type="dxa"/>
              <w:right w:w="108" w:type="dxa"/>
            </w:tcMar>
            <w:vAlign w:val="center"/>
          </w:tcPr>
          <w:p>
            <w:pPr>
              <w:keepNext w:val="true"/>
              <w:keepLines w:val="true"/>
              <w:spacing w:before="20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-10.59%</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2. Comparison of results.</w:t>
      </w:r>
    </w:p>
    <w:p>
      <w:pPr>
        <w:spacing w:before="0" w:after="0" w:line="240"/>
        <w:ind w:right="0" w:left="810" w:hanging="36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differences stem primarily from the fact that the beams are not rigidly attached to the wooden base, and the added flexibility at the base increases the period of the structure. Another source of error is that the damping was not accounted for in the calculations, because damping is very difficult to measure and amplitude dependent. </w:t>
      </w:r>
    </w:p>
    <w:p>
      <w:pPr>
        <w:spacing w:before="0" w:after="0" w:line="240"/>
        <w:ind w:right="0" w:left="792"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from each of the displacement vs. time histories, extract the maximum value for each frequency and plot the magnitude of the displacement vs. normalized frequency like that in Figure 3. An example is shown in Figure 4, where we have normalized frequency versus the first natural frequency (Beam Number 1) and plotted the maximum displacement of that beam when the shake table was subjected to a varying sinusoidal deformation with amplitude of 1 in.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Deformation of Beam #1 vs. normalized table frequency.</w:t>
      </w:r>
    </w:p>
    <w:p>
      <w:pPr>
        <w:spacing w:before="0" w:after="0" w:line="240"/>
        <w:ind w:right="0" w:left="0" w:firstLine="0"/>
        <w:jc w:val="left"/>
        <w:rPr>
          <w:rFonts w:ascii="Times New Roman" w:hAnsi="Times New Roman" w:cs="Times New Roman" w:eastAsia="Times New Roman"/>
          <w:b/>
          <w:color w:val="auto"/>
          <w:spacing w:val="0"/>
          <w:position w:val="0"/>
          <w:sz w:val="22"/>
          <w:shd w:fill="FFFF00"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FFFF00" w:val="clear"/>
        </w:rPr>
      </w:pPr>
      <w:r>
        <w:rPr>
          <w:rFonts w:ascii="Times New Roman" w:hAnsi="Times New Roman" w:cs="Times New Roman" w:eastAsia="Times New Roman"/>
          <w:color w:val="auto"/>
          <w:spacing w:val="0"/>
          <w:position w:val="0"/>
          <w:sz w:val="22"/>
          <w:shd w:fill="auto" w:val="clear"/>
        </w:rPr>
        <w:t xml:space="preserve">Initially, when the ratio of /</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is small, there is not much response as the energy input from the table motion does not excite the model.  As /</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approaches 1, there is a very significant increase in the response, with the deformations becoming quite large. The maximum response is reached when /</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is very close to 1.  As the normalized frequency increases beyond /</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 1, the dynamic response begins to die down; when /</w:t>
      </w:r>
      <w:r>
        <w:rPr>
          <w:rFonts w:ascii="Times New Roman" w:hAnsi="Times New Roman" w:cs="Times New Roman" w:eastAsia="Times New Roman"/>
          <w:color w:val="auto"/>
          <w:spacing w:val="0"/>
          <w:position w:val="0"/>
          <w:sz w:val="22"/>
          <w:shd w:fill="auto" w:val="clear"/>
          <w:vertAlign w:val="subscript"/>
        </w:rPr>
        <w:t xml:space="preserve">n </w:t>
      </w:r>
      <w:r>
        <w:rPr>
          <w:rFonts w:ascii="Times New Roman" w:hAnsi="Times New Roman" w:cs="Times New Roman" w:eastAsia="Times New Roman"/>
          <w:color w:val="auto"/>
          <w:spacing w:val="0"/>
          <w:position w:val="0"/>
          <w:sz w:val="22"/>
          <w:shd w:fill="auto" w:val="clear"/>
        </w:rPr>
        <w:t xml:space="preserve">becomes large we are in a situation where the load is being applied very slowly with respect to the natural frequency of the structure, and the deformation should become equal to that from a statically applied load.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i/>
          <w:color w:val="auto"/>
          <w:spacing w:val="0"/>
          <w:position w:val="-12"/>
          <w:sz w:val="22"/>
          <w:shd w:fill="FFFF00" w:val="clear"/>
        </w:rPr>
      </w:pPr>
      <w:r>
        <w:rPr>
          <w:rFonts w:ascii="Times New Roman" w:hAnsi="Times New Roman" w:cs="Times New Roman" w:eastAsia="Times New Roman"/>
          <w:color w:val="auto"/>
          <w:spacing w:val="0"/>
          <w:position w:val="0"/>
          <w:sz w:val="22"/>
          <w:shd w:fill="auto" w:val="clear"/>
        </w:rPr>
        <w:t xml:space="preserve">The intent of these experiments is primarily to show the changes in behavior qualitatively, as shown in the demonstrations for the two frame structures.  Obtaining results similar to those in Figures 3 and 4 requires great care and patience as sources of friction and similar will affect the amount of damping and thus shift the curves similar to those in Figure 3(c) to the left or right as the actual damped frequency,</w:t>
      </w:r>
      <w:r>
        <w:object w:dxaOrig="1700" w:dyaOrig="465">
          <v:rect xmlns:o="urn:schemas-microsoft-com:office:office" xmlns:v="urn:schemas-microsoft-com:vml" id="rectole0000000022" style="width:85.000000pt;height:23.250000pt" o:preferrelative="t" o:ole="">
            <o:lock v:ext="edit"/>
            <v:imagedata xmlns:r="http://schemas.openxmlformats.org/officeDocument/2006/relationships" r:id="docRId45" o:title=""/>
          </v:rect>
          <o:OLEObject xmlns:r="http://schemas.openxmlformats.org/officeDocument/2006/relationships" xmlns:o="urn:schemas-microsoft-com:office:office" Type="Embed" DrawAspect="Content" ObjectID="0000000022" ShapeID="rectole0000000022" r:id="docRId44"/>
        </w:object>
      </w:r>
      <w:r>
        <w:rPr>
          <w:rFonts w:ascii="Times New Roman" w:hAnsi="Times New Roman" w:cs="Times New Roman" w:eastAsia="Times New Roman"/>
          <w:color w:val="auto"/>
          <w:spacing w:val="0"/>
          <w:position w:val="-12"/>
          <w:sz w:val="22"/>
          <w:shd w:fill="auto" w:val="clear"/>
        </w:rPr>
        <w:t xml:space="preserve">’ changes.</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the natural frequency and damping of a simple cantilever system were measured by using shake tables.  Although the frequency content of an earthquake is random and covers a large bandwidth of frequencies, frequency spectra can be developed by translating the acceleration time history into the frequency domain through the use of Fourier transforms.  If the predominant frequencies of the ground motion match that of the structure, it is likely that the structure will undergo large displacement and consequently be exposed to great damage or even collapse.  Seismic design looks at the acceleration levels expected form an earthquake at a given location based on historical records, distance to the earthquake source, the type and size of the earthquake source, and the attenuation of the surface and body waves to determine a reasonable level of acceleration to be used for design.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What the general public often does not realize is that current seismic design provisions are only intended to minimize the probability of collapse and loss of life in the case that a maximum credible earthquake occurs to an acceptable level (around 5% to 10% in most cases).  While structural designs to obtain lower probabilities of failure are possible, they begin to become uneconomical.  Minimizing losses and improving resilience after such an event are not explicitly considered today, although such considerations are becoming more common, as many times the contents of a building and its functionality may be much more important than its safety.  Consider for example the case of a nuclear power plant (like Fukushima in the 2011 Great Kanto Earthquake), a residential ten-story building in Los Angeles, or a computer chip manufacturing facility in Silicon Valley and their exposure and vulnerability to seismic events.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case of the nuclear power plant, it may be desirable to design the structure to minimize any damage given that the consequence of even a minimal failure can have very dire consequences.  In this case, we should try to locate this facility as far away as possible from earthquake sources to minimize exposure, because minimizing vulnerability to the desired level is very difficult and expensive.  The reality is that it is prohibitively expensive to do this given the public’s desire to avoid not only a Fukushima-type incident, but also even a more limited one, like the nuclear disaster on Three Mile Island.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 multi-story building in Los Angeles, it is more difficult to minimize exposure because a large network of seismic faults with somewhat unknown return periods is nearby, including the San Andreas Fault. In this case, the emphasis should be on robust design and detailing to minimize the structure’s vulnerability; the owners of the residences should be conscious that they are taking a significant risk should an earthquake occur. They should not expect the building to collapse, but the building may be a complete loss if the earthquake is of a large enough magnitude.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 computer chip plant, the problems may be completely different because the structure itself may be quite flexible and outside the frequency range of the earthquake. Thus, the structure may not suffer any damage; however, its contents (chip manufacturing equipment) may be severely damaged, and chip production could be disrupted.  Depending on the specific set of chips being manufactured at the facility, the economic damage both to the owner of the facility and to the industry as a whole can be tremendous.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These three examples illustrate why one needs to develop resilient design strategies for our infrastructure. To reach this goal we need to understand both the input (ground motion) and output (structural response). This issue can only be addressed through a combined analytical and experimental approach. The former is reflected in the equations listed above, while the latter can only be achieved through the experimental work done through quasi-static, pseudo-dynamic, and shake table approaches.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3.wmf" Id="docRId7" Type="http://schemas.openxmlformats.org/officeDocument/2006/relationships/image" /><Relationship Target="embeddings/oleObject7.bin" Id="docRId14" Type="http://schemas.openxmlformats.org/officeDocument/2006/relationships/oleObject" /><Relationship Target="embeddings/oleObject17.bin" Id="docRId34" Type="http://schemas.openxmlformats.org/officeDocument/2006/relationships/oleObject" /><Relationship Target="styles.xml" Id="docRId47" Type="http://schemas.openxmlformats.org/officeDocument/2006/relationships/styles" /><Relationship Target="embeddings/oleObject11.bin" Id="docRId22" Type="http://schemas.openxmlformats.org/officeDocument/2006/relationships/oleObject" /><Relationship Target="media/image4.wmf" Id="docRId9" Type="http://schemas.openxmlformats.org/officeDocument/2006/relationships/image" /><Relationship Target="embeddings/oleObject0.bin" Id="docRId0" Type="http://schemas.openxmlformats.org/officeDocument/2006/relationships/oleObject" /><Relationship Target="media/image14.wmf" Id="docRId29" Type="http://schemas.openxmlformats.org/officeDocument/2006/relationships/image" /><Relationship Target="embeddings/oleObject18.bin" Id="docRId36"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embeddings/oleObject14.bin" Id="docRId28" Type="http://schemas.openxmlformats.org/officeDocument/2006/relationships/oleObject" /><Relationship Target="media/image1.wmf" Id="docRId3" Type="http://schemas.openxmlformats.org/officeDocument/2006/relationships/image" /><Relationship Target="media/image18.wmf" Id="docRId37" Type="http://schemas.openxmlformats.org/officeDocument/2006/relationships/image" /><Relationship Target="embeddings/oleObject20.bin" Id="docRId40" Type="http://schemas.openxmlformats.org/officeDocument/2006/relationships/oleObject"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 Target="media/image13.wmf" Id="docRId27" Type="http://schemas.openxmlformats.org/officeDocument/2006/relationships/image" /><Relationship Target="embeddings/oleObject15.bin" Id="docRId30" Type="http://schemas.openxmlformats.org/officeDocument/2006/relationships/oleObject" /><Relationship Target="embeddings/oleObject19.bin" Id="docRId38" Type="http://schemas.openxmlformats.org/officeDocument/2006/relationships/oleObject" /><Relationship Target="media/image21.wmf" Id="docRId43" Type="http://schemas.openxmlformats.org/officeDocument/2006/relationships/image" /><Relationship Target="media/image5.wmf" Id="docRId11" Type="http://schemas.openxmlformats.org/officeDocument/2006/relationships/image" /><Relationship Target="media/image9.wmf" Id="docRId19" Type="http://schemas.openxmlformats.org/officeDocument/2006/relationships/image" /><Relationship Target="embeddings/oleObject13.bin" Id="docRId26" Type="http://schemas.openxmlformats.org/officeDocument/2006/relationships/oleObject" /><Relationship Target="media/image15.wmf" Id="docRId31" Type="http://schemas.openxmlformats.org/officeDocument/2006/relationships/image" /><Relationship Target="media/image19.wmf" Id="docRId39" Type="http://schemas.openxmlformats.org/officeDocument/2006/relationships/image" /><Relationship Target="embeddings/oleObject21.bin" Id="docRId42" Type="http://schemas.openxmlformats.org/officeDocument/2006/relationships/oleObject" /><Relationship Target="media/image2.wmf" Id="docRId5" Type="http://schemas.openxmlformats.org/officeDocument/2006/relationships/image" /><Relationship Target="embeddings/oleObject8.bin" Id="docRId16" Type="http://schemas.openxmlformats.org/officeDocument/2006/relationships/oleObject" /><Relationship Target="media/image12.wmf" Id="docRId25" Type="http://schemas.openxmlformats.org/officeDocument/2006/relationships/image" /><Relationship Target="embeddings/oleObject16.bin" Id="docRId32" Type="http://schemas.openxmlformats.org/officeDocument/2006/relationships/oleObject" /><Relationship Target="embeddings/oleObject2.bin" Id="docRId4" Type="http://schemas.openxmlformats.org/officeDocument/2006/relationships/oleObject" /><Relationship Target="media/image22.wmf" Id="docRId45" Type="http://schemas.openxmlformats.org/officeDocument/2006/relationships/image" /><Relationship Target="media/image8.wmf" Id="docRId17" Type="http://schemas.openxmlformats.org/officeDocument/2006/relationships/image" /><Relationship Target="embeddings/oleObject12.bin" Id="docRId24" Type="http://schemas.openxmlformats.org/officeDocument/2006/relationships/oleObject" /><Relationship Target="media/image16.wmf" Id="docRId33" Type="http://schemas.openxmlformats.org/officeDocument/2006/relationships/image" /><Relationship Target="embeddings/oleObject22.bin" Id="docRId44" Type="http://schemas.openxmlformats.org/officeDocument/2006/relationships/oleObject" /><Relationship Target="media/image11.wmf" Id="docRId23" Type="http://schemas.openxmlformats.org/officeDocument/2006/relationships/image" /><Relationship Target="embeddings/oleObject3.bin" Id="docRId6" Type="http://schemas.openxmlformats.org/officeDocument/2006/relationships/oleObject" /><Relationship Target="media/image0.wmf" Id="docRId1" Type="http://schemas.openxmlformats.org/officeDocument/2006/relationships/image" /><Relationship Target="media/image7.wmf" Id="docRId15" Type="http://schemas.openxmlformats.org/officeDocument/2006/relationships/image" /><Relationship Target="media/image17.wmf" Id="docRId35" Type="http://schemas.openxmlformats.org/officeDocument/2006/relationships/image" /><Relationship Target="numbering.xml" Id="docRId46" Type="http://schemas.openxmlformats.org/officeDocument/2006/relationships/numbering" /><Relationship Target="embeddings/oleObject6.bin" Id="docRId12" Type="http://schemas.openxmlformats.org/officeDocument/2006/relationships/oleObject" /><Relationship Target="media/image10.wmf" Id="docRId21" Type="http://schemas.openxmlformats.org/officeDocument/2006/relationships/image" /><Relationship Target="media/image20.wmf" Id="docRId41" Type="http://schemas.openxmlformats.org/officeDocument/2006/relationships/image" /><Relationship Target="embeddings/oleObject4.bin" Id="docRId8" Type="http://schemas.openxmlformats.org/officeDocument/2006/relationships/oleObject" /></Relationships>
</file>