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Robert M. Rioux and Taslima A. Zaman, Pennsylvania State University, Pennsylvania, PA</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Users are responsible for the proper disposal of the waste generated during their work. Improper waste disposal may severely endanger public health and/or the environment. The handling of hazardous waste must be regulated from the moment of generation until its disposal at its offsite final destination facility. A waste management system must be devised before work begins on any laboratory activity. Users must comply with the rules and regulations of their institute’s Environmental Health and Safety (EHS) office, which develops and implements proper waste management systems satisfying diverse regulations and standards, such as those imposed by the Occupational Safety and Health Administration (OSHA).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waste disposal begins with good waste management by the researcher, including minimum waste generation, reusing surplus materials, and recycling of appropriate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uncontaminated) waste. The generated waste must be properly collected and stored, paying close attention to labeling, segregating according to chemical compatibility, and accumulating in a well-ventilated location. This location should be well labeled. Other laboratory waste items such as sharps and glass must also be disposed of with care in appropriately labeled and compatible containers.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1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Waste Management</w:t>
      </w:r>
    </w:p>
    <w:p>
      <w:pPr>
        <w:spacing w:before="0" w:after="10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Users should make an effort to keep waste to a minimum. The best way to do so is by reducing the scale of operation, which minimizes the quantity of waste generated. Whenever possible, chemicals used should be substituted with less hazardous chemicals. </w:t>
      </w:r>
    </w:p>
    <w:p>
      <w:pPr>
        <w:spacing w:before="0" w:after="0" w:line="240"/>
        <w:ind w:right="0" w:left="90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Chemical quantities should be kept to a minimum. Store only what will be used in the near term.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Besides preventing or minimizing waste generation, chemicals should be recycled or recovered for reuse.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When waste is generated, it must be disposed of properly. Sink disposal may not always be appropriate and may end contaminating drinking water. Alternative methods of disposal should be considered including incineration, treatment, and land disposal. The institute’s EHS office should be consulted to determine the proper disposal method for different waste types.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Waste Collection and Storage </w:t>
      </w:r>
    </w:p>
    <w:p>
      <w:pPr>
        <w:spacing w:before="0" w:after="100" w:line="240"/>
        <w:ind w:right="0" w:left="360" w:firstLine="0"/>
        <w:jc w:val="left"/>
        <w:rPr>
          <w:rFonts w:ascii="Calibri" w:hAnsi="Calibri" w:cs="Calibri" w:eastAsia="Calibri"/>
          <w:color w:val="auto"/>
          <w:spacing w:val="0"/>
          <w:position w:val="0"/>
          <w:sz w:val="24"/>
          <w:shd w:fill="auto" w:val="clear"/>
        </w:rPr>
      </w:pPr>
    </w:p>
    <w:p>
      <w:pPr>
        <w:spacing w:before="0" w:after="10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When generating or managing any chemical waste, appropriate personal protective equipment (PPE) must be worn, and engineering controls should be implemented as necessary.</w:t>
      </w:r>
    </w:p>
    <w:p>
      <w:pPr>
        <w:spacing w:before="0" w:after="100" w:line="240"/>
        <w:ind w:right="0" w:left="360" w:firstLine="0"/>
        <w:jc w:val="left"/>
        <w:rPr>
          <w:rFonts w:ascii="Calibri" w:hAnsi="Calibri" w:cs="Calibri" w:eastAsia="Calibri"/>
          <w:color w:val="auto"/>
          <w:spacing w:val="0"/>
          <w:position w:val="0"/>
          <w:sz w:val="24"/>
          <w:shd w:fill="auto" w:val="clear"/>
        </w:rPr>
      </w:pPr>
    </w:p>
    <w:p>
      <w:pPr>
        <w:spacing w:before="0" w:after="10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Collect and store chemical waste at or near the point of generation in a designated satellite accumulation area. This accumulation area should be well marked for easy identification. </w:t>
      </w:r>
    </w:p>
    <w:p>
      <w:pPr>
        <w:spacing w:before="0" w:after="100" w:line="240"/>
        <w:ind w:right="0" w:left="0" w:firstLine="0"/>
        <w:jc w:val="left"/>
        <w:rPr>
          <w:rFonts w:ascii="Calibri" w:hAnsi="Calibri" w:cs="Calibri" w:eastAsia="Calibri"/>
          <w:color w:val="auto"/>
          <w:spacing w:val="0"/>
          <w:position w:val="0"/>
          <w:sz w:val="24"/>
          <w:shd w:fill="auto" w:val="clear"/>
        </w:rPr>
      </w:pPr>
    </w:p>
    <w:p>
      <w:pPr>
        <w:spacing w:before="0" w:after="10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Chemical waste must be stored in compatible containers with closed and properly fitted caps.</w:t>
      </w:r>
    </w:p>
    <w:p>
      <w:pPr>
        <w:spacing w:before="0" w:after="10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Waste containers must be labeled mentioning chemical compositions, the accumulation start date, and hazard warnings as appropriate. The institute’s EHS office typically provides these required labels.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Incompatible waste types should not be mixed and should be kept separate in order to avoid any reaction, heat generation, and/or gas evolution.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Waste containers should be stored in secondary containers in a ventilated, cool, and dry area.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 the central accumulation area, waste containers should be grounded to avoid fire and explosion hazards.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Trained laboratory researchers who are most familiar with the waste generated should work with EHS to ensure proper waste management.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Sharps Disposal - Syringes and Needles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Chemically contaminated needles, syringes, and razor blades should be disposed of inside a proper sharps container.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Syringes or needles must never be disposed of in a laboratory waste bin or a general waste container.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Glass Recycling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Recycling glass is friendly to the environment as it reduces pollution caused by the waste ending up in landfill sites. Every laboratory should have a separate recycling bin dedicated to glass. </w:t>
      </w:r>
    </w:p>
    <w:p>
      <w:pPr>
        <w:spacing w:before="0" w:after="0" w:line="240"/>
        <w:ind w:right="0" w:left="90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Clean empty glass bottles and broken glassware may be recycled. To clean an empty glass bottle, it must be “triple rinsed” with water or another suitable solvent and air-dried before disposal.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90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Chemically contaminated laboratory glassware such as sample tubes, droppers, and glass wool must be disposed of as controlled waste. </w:t>
      </w:r>
    </w:p>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document, a basic guideline for laboratory waste disposal is provided. Users must work and comply with their institute’s EHS office to determine the proper method for waste disposal satisfying diverse regulations and standards. The laboratory user should be cognizant of what waste material is being generated and hazards present should be carefully assessed to determine proper waste disposal, which may otherwise put public health or the environment in danger. No matter how small or large a waste quantity is handled, proper PPE must be worn. </w:t>
      </w:r>
    </w:p>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1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100" w:line="240"/>
        <w:ind w:right="0" w:left="0" w:hanging="360"/>
        <w:jc w:val="left"/>
        <w:rPr>
          <w:rFonts w:ascii="Calibri" w:hAnsi="Calibri" w:cs="Calibri" w:eastAsia="Calibri"/>
          <w:color w:val="auto"/>
          <w:spacing w:val="0"/>
          <w:position w:val="0"/>
          <w:sz w:val="24"/>
          <w:u w:val="single"/>
          <w:shd w:fill="auto" w:val="clear"/>
        </w:rPr>
      </w:pPr>
      <w:r>
        <w:rPr>
          <w:rFonts w:ascii="Times New Roman" w:hAnsi="Times New Roman" w:cs="Times New Roman" w:eastAsia="Times New Roman"/>
          <w:color w:val="auto"/>
          <w:spacing w:val="0"/>
          <w:position w:val="0"/>
          <w:sz w:val="20"/>
          <w:u w:val="single"/>
          <w:shd w:fill="auto" w:val="clear"/>
        </w:rPr>
        <w:t xml:space="preserve">1.</w:t>
        <w:tab/>
      </w:r>
      <w:r>
        <w:rPr>
          <w:rFonts w:ascii="Calibri" w:hAnsi="Calibri" w:cs="Calibri" w:eastAsia="Calibri"/>
          <w:color w:val="auto"/>
          <w:spacing w:val="0"/>
          <w:position w:val="0"/>
          <w:sz w:val="24"/>
          <w:shd w:fill="auto" w:val="clear"/>
        </w:rPr>
        <w:t xml:space="preserve">Occupational Health and Safety [OSHA] (Standard - 1910.1450 App A).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https://www.osha.gov/pls/oshaweb/owadisp.show_document?p_table=STANDARDS&amp;amp;p_id=10107</w:t>
        </w:r>
      </w:hyperlink>
    </w:p>
    <w:p>
      <w:pPr>
        <w:spacing w:before="0" w:after="100" w:line="240"/>
        <w:ind w:right="0" w:left="0" w:hanging="360"/>
        <w:jc w:val="left"/>
        <w:rPr>
          <w:rFonts w:ascii="Calibri" w:hAnsi="Calibri" w:cs="Calibri" w:eastAsia="Calibri"/>
          <w:color w:val="auto"/>
          <w:spacing w:val="0"/>
          <w:position w:val="0"/>
          <w:sz w:val="24"/>
          <w:u w:val="single"/>
          <w:shd w:fill="auto" w:val="clear"/>
        </w:rPr>
      </w:pPr>
      <w:r>
        <w:rPr>
          <w:rFonts w:ascii="Times New Roman" w:hAnsi="Times New Roman" w:cs="Times New Roman" w:eastAsia="Times New Roman"/>
          <w:color w:val="auto"/>
          <w:spacing w:val="0"/>
          <w:position w:val="0"/>
          <w:sz w:val="20"/>
          <w:u w:val="single"/>
          <w:shd w:fill="auto" w:val="clear"/>
        </w:rPr>
        <w:t xml:space="preserve">2.</w:t>
        <w:tab/>
      </w:r>
      <w:r>
        <w:rPr>
          <w:rFonts w:ascii="Calibri" w:hAnsi="Calibri" w:cs="Calibri" w:eastAsia="Calibri"/>
          <w:color w:val="auto"/>
          <w:spacing w:val="0"/>
          <w:position w:val="0"/>
          <w:sz w:val="24"/>
          <w:shd w:fill="auto" w:val="clear"/>
        </w:rPr>
        <w:t xml:space="preserve">Princeton University Environmental Health Safety Empty Chemical Container Management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https://ehs.princeton.edu/environmental-programs/waste-management/empty-chemical-container-management</w:t>
        </w:r>
      </w:hyperlink>
    </w:p>
    <w:p>
      <w:pPr>
        <w:spacing w:before="0" w:after="100" w:line="240"/>
        <w:ind w:right="0" w:left="0" w:hanging="36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3.</w:t>
        <w:tab/>
      </w:r>
      <w:r>
        <w:rPr>
          <w:rFonts w:ascii="Calibri" w:hAnsi="Calibri" w:cs="Calibri" w:eastAsia="Calibri"/>
          <w:color w:val="auto"/>
          <w:spacing w:val="0"/>
          <w:position w:val="0"/>
          <w:sz w:val="24"/>
          <w:shd w:fill="auto" w:val="clear"/>
        </w:rPr>
        <w:t xml:space="preserve">US Environmental Protection Agency Table of Regulated Drinking Water Contaminants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https://www.epa.gov/ground-water-and-drinking-water/table-regulated-drinking-water-contaminants</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hs.princeton.edu/environmental-programs/waste-management/empty-chemical-container-management" Id="docRId1" Type="http://schemas.openxmlformats.org/officeDocument/2006/relationships/hyperlink" /><Relationship Target="numbering.xml" Id="docRId3" Type="http://schemas.openxmlformats.org/officeDocument/2006/relationships/numbering" /><Relationship TargetMode="External" Target="https://www.osha.gov/pls/oshaweb/owadisp.show_document?p_table=STANDARDS&amp;amp;p_id=10107" Id="docRId0" Type="http://schemas.openxmlformats.org/officeDocument/2006/relationships/hyperlink" /><Relationship TargetMode="External" Target="https://www.epa.gov/ground-water-and-drinking-water/table-regulated-drinking-water-contaminants" Id="docRId2" Type="http://schemas.openxmlformats.org/officeDocument/2006/relationships/hyperlink" /><Relationship Target="styles.xml" Id="docRId4" Type="http://schemas.openxmlformats.org/officeDocument/2006/relationships/styles" /></Relationships>
</file>