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r>
      <w:r>
        <w:rPr>
          <w:rFonts w:ascii="Times New Roman" w:hAnsi="Times New Roman" w:cs="Times New Roman" w:eastAsia="Times New Roman"/>
          <w:color w:val="auto"/>
          <w:spacing w:val="0"/>
          <w:position w:val="0"/>
          <w:sz w:val="22"/>
          <w:shd w:fill="auto" w:val="clear"/>
        </w:rPr>
        <w:t xml:space="preserve">Near-Infrared Fluorescence Imaging in Small Animals</w:t>
      </w: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ABSTACT: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Arvin H. Soepriatna</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Kelsey A. Bullens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and Craig J. Goergen</w:t>
      </w:r>
      <w:r>
        <w:rPr>
          <w:rFonts w:ascii="Times New Roman" w:hAnsi="Times New Roman" w:cs="Times New Roman" w:eastAsia="Times New Roman"/>
          <w:color w:val="auto"/>
          <w:spacing w:val="0"/>
          <w:position w:val="0"/>
          <w:sz w:val="22"/>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vertAlign w:val="superscript"/>
        </w:rPr>
        <w:t xml:space="preserve">1 </w:t>
      </w:r>
      <w:r>
        <w:rPr>
          <w:rFonts w:ascii="Times New Roman" w:hAnsi="Times New Roman" w:cs="Times New Roman" w:eastAsia="Times New Roman"/>
          <w:color w:val="auto"/>
          <w:spacing w:val="0"/>
          <w:position w:val="0"/>
          <w:sz w:val="22"/>
          <w:shd w:fill="auto" w:val="clear"/>
        </w:rPr>
        <w:t xml:space="preserve">Weldon School of Biomedical Engineering, Purdue University, </w:t>
      </w:r>
      <w:r>
        <w:rPr>
          <w:rFonts w:ascii="Times New Roman" w:hAnsi="Times New Roman" w:cs="Times New Roman" w:eastAsia="Times New Roman"/>
          <w:color w:val="auto"/>
          <w:spacing w:val="0"/>
          <w:position w:val="0"/>
          <w:sz w:val="24"/>
          <w:shd w:fill="auto" w:val="clear"/>
        </w:rPr>
        <w:t xml:space="preserve">West Lafayette, Indiana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vertAlign w:val="superscript"/>
        </w:rPr>
        <w:t xml:space="preserve">2 </w:t>
      </w:r>
      <w:r>
        <w:rPr>
          <w:rFonts w:ascii="Times New Roman" w:hAnsi="Times New Roman" w:cs="Times New Roman" w:eastAsia="Times New Roman"/>
          <w:color w:val="auto"/>
          <w:spacing w:val="0"/>
          <w:position w:val="0"/>
          <w:sz w:val="22"/>
          <w:shd w:fill="auto" w:val="clear"/>
        </w:rPr>
        <w:t xml:space="preserve">Department of Biochemistry, Purdue University, </w:t>
      </w:r>
      <w:r>
        <w:rPr>
          <w:rFonts w:ascii="Times New Roman" w:hAnsi="Times New Roman" w:cs="Times New Roman" w:eastAsia="Times New Roman"/>
          <w:color w:val="auto"/>
          <w:spacing w:val="0"/>
          <w:position w:val="0"/>
          <w:sz w:val="24"/>
          <w:shd w:fill="auto" w:val="clear"/>
        </w:rPr>
        <w:t xml:space="preserve">West Lafayette, Indiana</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Near-infrared fluorescence (NIRF) imaging is an exciting optical technique that utilizes fluorescent probes to visualize complex biomolecular assemblies in tissues. NIRF imaging has many advantages over conventional imaging methods for noninvasive imaging of diseases. Unlike single photon emission computed tomography (SPECT) and positron emission tomography (PET), NIRF imaging is rapid, high-throughput, and does not involve ionizing radiation. Furthermore, recent developments in engineering target-specific and activatable fluorescent probes provide NIRF with high specificity and sensitivity, making it an attractive modality in studying cancer and cardiovascular disease. The presented procedure is designed to demonstrate the principles behind NIRF imaging and how to conduct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experiments in small animals to study a variety of diseases. The specific example shown here employs an activatable fluorescent probe for matrix metalloproteinase-2 (MMP2) to study its uptake in two different rodent models of abdominal aortic aneurysms (AAAs).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the name suggests, NIRF imaging utilizes light within the first near-infrared window, ranging from 650 nm to 900 nm, to deliver photons into tissue. The energy, </w:t>
      </w:r>
      <w:r>
        <w:rPr>
          <w:rFonts w:ascii="Times New Roman" w:hAnsi="Times New Roman" w:cs="Times New Roman" w:eastAsia="Times New Roman"/>
          <w:i/>
          <w:color w:val="auto"/>
          <w:spacing w:val="0"/>
          <w:position w:val="0"/>
          <w:sz w:val="22"/>
          <w:shd w:fill="auto" w:val="clear"/>
        </w:rPr>
        <w:t xml:space="preserve">E</w:t>
      </w:r>
      <w:r>
        <w:rPr>
          <w:rFonts w:ascii="Times New Roman" w:hAnsi="Times New Roman" w:cs="Times New Roman" w:eastAsia="Times New Roman"/>
          <w:color w:val="auto"/>
          <w:spacing w:val="0"/>
          <w:position w:val="0"/>
          <w:sz w:val="22"/>
          <w:shd w:fill="auto" w:val="clear"/>
        </w:rPr>
        <w:t xml:space="preserve">, of a photon is characterized by Equation 1, where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is the Planck’s constant,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 xml:space="preserve"> is the speed of light in a vacuum, and </w:t>
      </w:r>
      <w:r>
        <w:rPr>
          <w:rFonts w:ascii="Times New Roman" w:hAnsi="Times New Roman" w:cs="Times New Roman" w:eastAsia="Times New Roman"/>
          <w:i/>
          <w:color w:val="000000"/>
          <w:spacing w:val="0"/>
          <w:position w:val="0"/>
          <w:sz w:val="22"/>
          <w:shd w:fill="auto" w:val="clear"/>
        </w:rPr>
        <w:t xml:space="preserve">λ</w:t>
      </w: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is the wavelength of light.</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w:t>
        <w:tab/>
        <w:tab/>
        <w:t xml:space="preserve">(Equation 1)</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Target-specific fluorescent molecules called fluorophores, typically introduced into the animal through genetic engineering or via tail vein injection prior to imaging, absorb photon energy, which raises the energy of the molecules from the ground state S</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to the unstable, excited state S</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Due to the unstable state, the molecules relax to the lowest vibrational energy level within the excited state, releasing energy in the form of heat. The fluorophores, now in the relaxed, excited state S</w:t>
      </w:r>
      <w:r>
        <w:rPr>
          <w:rFonts w:ascii="Times New Roman" w:hAnsi="Times New Roman" w:cs="Times New Roman" w:eastAsia="Times New Roman"/>
          <w:color w:val="auto"/>
          <w:spacing w:val="0"/>
          <w:position w:val="0"/>
          <w:sz w:val="22"/>
          <w:shd w:fill="auto" w:val="clear"/>
          <w:vertAlign w:val="subscript"/>
        </w:rPr>
        <w:t xml:space="preserve">1</w:t>
      </w:r>
      <w:r>
        <w:rPr>
          <w:rFonts w:ascii="Times New Roman" w:hAnsi="Times New Roman" w:cs="Times New Roman" w:eastAsia="Times New Roman"/>
          <w:color w:val="auto"/>
          <w:spacing w:val="0"/>
          <w:position w:val="0"/>
          <w:sz w:val="22"/>
          <w:shd w:fill="auto" w:val="clear"/>
        </w:rPr>
        <w:t xml:space="preserve">, then return to the ground state S</w:t>
      </w:r>
      <w:r>
        <w:rPr>
          <w:rFonts w:ascii="Times New Roman" w:hAnsi="Times New Roman" w:cs="Times New Roman" w:eastAsia="Times New Roman"/>
          <w:color w:val="auto"/>
          <w:spacing w:val="0"/>
          <w:position w:val="0"/>
          <w:sz w:val="22"/>
          <w:shd w:fill="auto" w:val="clear"/>
          <w:vertAlign w:val="subscript"/>
        </w:rPr>
        <w:t xml:space="preserve">0</w:t>
      </w:r>
      <w:r>
        <w:rPr>
          <w:rFonts w:ascii="Times New Roman" w:hAnsi="Times New Roman" w:cs="Times New Roman" w:eastAsia="Times New Roman"/>
          <w:color w:val="auto"/>
          <w:spacing w:val="0"/>
          <w:position w:val="0"/>
          <w:sz w:val="22"/>
          <w:shd w:fill="auto" w:val="clear"/>
        </w:rPr>
        <w:t xml:space="preserve">, emitting light at a specific wavelength. The emitted light, which has a longer wavelength due to the dissipation of energy in the form of heat, is then captured and recorded using a fluorescence imaging system. The fundamental shift between the absorption and emission spectra is called the Stokes shift and is important as it makes it possible to differentiate between the exciting and emission light.</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procedure provides detailed steps needed to collect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NIRF images from small animals:</w:t>
      </w:r>
    </w:p>
    <w:p>
      <w:pPr>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Experimental Setup</w:t>
      </w:r>
    </w:p>
    <w:p>
      <w:pPr>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Connect a fiber optic light source to the fluorescence imaging system using a fiber optic light guide. </w:t>
      </w: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Select the appropriate excitation filter for the experiment. The excitation filter determines the wavelength of light to be delivered to the sample and should be chosen to match the excitation spectrum of the fluorophore introduced into the sample.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Select the appropriate emission filter. The emission filter blocks undesired spectral components, which may be attributed to autofluorescence, and should be chosen to match the emission spectrum of the fluorophore.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Sample Preparation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Imaging</w:t>
      </w: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Anesthetize the animal using isoflurane in a knockdown chamber and   remove hair from the region of interest by applying a depilatory cream.</w:t>
      </w:r>
    </w:p>
    <w:p>
      <w:pPr>
        <w:spacing w:before="0" w:after="0" w:line="240"/>
        <w:ind w:right="0" w:left="2304"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2.1.2.</w:t>
        <w:tab/>
        <w:t xml:space="preserve">Transfer the animal to a nose cone that is fixed on the imaging stage.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2.1.3.</w:t>
        <w:tab/>
        <w:t xml:space="preserve">Secure the animal’s paws to minimize motion artifacts and apply ophthalmic ointment to the eyes to prevent drying of the corneas.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2.1.4.</w:t>
        <w:tab/>
        <w:t xml:space="preserve">Inject the activatable fluorescent molecular probe into the animal. For this specific application, MMP2 activatable probes were injected into the mouse via tail vein injection.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Imaging</w:t>
      </w:r>
    </w:p>
    <w:p>
      <w:pPr>
        <w:spacing w:before="0" w:after="0" w:line="240"/>
        <w:ind w:right="0" w:left="144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2.2.1.</w:t>
        <w:tab/>
        <w:t xml:space="preserve">Following injection of the fluorescent probe, euthanize the animal in a humane fashion. Carbon dioxide (CO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overdose is a standard practice for euthanizing small animals. </w:t>
      </w:r>
    </w:p>
    <w:p>
      <w:pPr>
        <w:spacing w:before="0" w:after="0" w:line="240"/>
        <w:ind w:right="0" w:left="2304"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2.2.2.</w:t>
        <w:tab/>
        <w:t xml:space="preserve">Surgically extract the tissue or organ of interest and carefully remove excess adipose tissue with forceps. </w:t>
      </w:r>
    </w:p>
    <w:p>
      <w:pPr>
        <w:spacing w:before="0" w:after="0" w:line="240"/>
        <w:ind w:right="0" w:left="2304"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2304" w:hanging="864"/>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2.2.3.</w:t>
        <w:tab/>
        <w:t xml:space="preserve">Rinse the tissue in phosphate buffered saline to remove residual blood and place the sample directly on the imaging stage.</w:t>
      </w:r>
    </w:p>
    <w:p>
      <w:pPr>
        <w:spacing w:before="0" w:after="0" w:line="240"/>
        <w:ind w:right="0" w:left="2304"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Image Acquisition</w:t>
      </w:r>
    </w:p>
    <w:p>
      <w:pPr>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Open the molecular imaging software and turn on both the fiber optic light source and the fluorescence imaging System.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Open the acquisition window and specify the type of exposure appropriate for the study. Available exposures include: </w:t>
      </w:r>
      <w:r>
        <w:rPr>
          <w:rFonts w:ascii="Times New Roman" w:hAnsi="Times New Roman" w:cs="Times New Roman" w:eastAsia="Times New Roman"/>
          <w:i/>
          <w:color w:val="auto"/>
          <w:spacing w:val="0"/>
          <w:position w:val="0"/>
          <w:sz w:val="22"/>
          <w:shd w:fill="auto" w:val="clear"/>
        </w:rPr>
        <w:t xml:space="preserve">Standard Exposure </w:t>
      </w:r>
      <w:r>
        <w:rPr>
          <w:rFonts w:ascii="Times New Roman" w:hAnsi="Times New Roman" w:cs="Times New Roman" w:eastAsia="Times New Roman"/>
          <w:color w:val="auto"/>
          <w:spacing w:val="0"/>
          <w:position w:val="0"/>
          <w:sz w:val="22"/>
          <w:shd w:fill="auto" w:val="clear"/>
        </w:rPr>
        <w:t xml:space="preserve">to capture a single image, </w:t>
      </w:r>
      <w:r>
        <w:rPr>
          <w:rFonts w:ascii="Times New Roman" w:hAnsi="Times New Roman" w:cs="Times New Roman" w:eastAsia="Times New Roman"/>
          <w:i/>
          <w:color w:val="auto"/>
          <w:spacing w:val="0"/>
          <w:position w:val="0"/>
          <w:sz w:val="22"/>
          <w:shd w:fill="auto" w:val="clear"/>
        </w:rPr>
        <w:t xml:space="preserve">Time Lapse Exposure</w:t>
      </w:r>
      <w:r>
        <w:rPr>
          <w:rFonts w:ascii="Times New Roman" w:hAnsi="Times New Roman" w:cs="Times New Roman" w:eastAsia="Times New Roman"/>
          <w:color w:val="auto"/>
          <w:spacing w:val="0"/>
          <w:position w:val="0"/>
          <w:sz w:val="22"/>
          <w:shd w:fill="auto" w:val="clear"/>
        </w:rPr>
        <w:t xml:space="preserve"> to capture a series of images over a fixed time interval, and </w:t>
      </w:r>
      <w:r>
        <w:rPr>
          <w:rFonts w:ascii="Times New Roman" w:hAnsi="Times New Roman" w:cs="Times New Roman" w:eastAsia="Times New Roman"/>
          <w:i/>
          <w:color w:val="auto"/>
          <w:spacing w:val="0"/>
          <w:position w:val="0"/>
          <w:sz w:val="22"/>
          <w:shd w:fill="auto" w:val="clear"/>
        </w:rPr>
        <w:t xml:space="preserve">Progressive Exposure </w:t>
      </w:r>
      <w:r>
        <w:rPr>
          <w:rFonts w:ascii="Times New Roman" w:hAnsi="Times New Roman" w:cs="Times New Roman" w:eastAsia="Times New Roman"/>
          <w:color w:val="auto"/>
          <w:spacing w:val="0"/>
          <w:position w:val="0"/>
          <w:sz w:val="22"/>
          <w:shd w:fill="auto" w:val="clear"/>
        </w:rPr>
        <w:t xml:space="preserve">to capture a continuous sequence of exposures at different exposure times.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Select </w:t>
      </w:r>
      <w:r>
        <w:rPr>
          <w:rFonts w:ascii="Times New Roman" w:hAnsi="Times New Roman" w:cs="Times New Roman" w:eastAsia="Times New Roman"/>
          <w:i/>
          <w:color w:val="auto"/>
          <w:spacing w:val="0"/>
          <w:position w:val="0"/>
          <w:sz w:val="22"/>
          <w:shd w:fill="auto" w:val="clear"/>
        </w:rPr>
        <w:t xml:space="preserve">UV-Transillumination</w:t>
      </w:r>
      <w:r>
        <w:rPr>
          <w:rFonts w:ascii="Times New Roman" w:hAnsi="Times New Roman" w:cs="Times New Roman" w:eastAsia="Times New Roman"/>
          <w:color w:val="auto"/>
          <w:spacing w:val="0"/>
          <w:position w:val="0"/>
          <w:sz w:val="22"/>
          <w:shd w:fill="auto" w:val="clear"/>
        </w:rPr>
        <w:t xml:space="preserve"> as the illumination source.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Using the previewed image as a reference, adjust the focus of the lens, the field of view, and the f-stop/aperture in the capture system chamber to optimize the sampled image quality. Adjust the exposure time and position of the sample.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Close the preview window and ensure that all parameters on the acquisition window match the camera and filter settings.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Click ‘</w:t>
      </w:r>
      <w:r>
        <w:rPr>
          <w:rFonts w:ascii="Times New Roman" w:hAnsi="Times New Roman" w:cs="Times New Roman" w:eastAsia="Times New Roman"/>
          <w:i/>
          <w:color w:val="auto"/>
          <w:spacing w:val="0"/>
          <w:position w:val="0"/>
          <w:sz w:val="22"/>
          <w:shd w:fill="auto" w:val="clear"/>
        </w:rPr>
        <w:t xml:space="preserve">Expose</w:t>
      </w:r>
      <w:r>
        <w:rPr>
          <w:rFonts w:ascii="Times New Roman" w:hAnsi="Times New Roman" w:cs="Times New Roman" w:eastAsia="Times New Roman"/>
          <w:color w:val="auto"/>
          <w:spacing w:val="0"/>
          <w:position w:val="0"/>
          <w:sz w:val="22"/>
          <w:shd w:fill="auto" w:val="clear"/>
        </w:rPr>
        <w:t xml:space="preserve">’ to acquire and save the image.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t xml:space="preserve">Standard molecular imaging software typically provides a variety of analytical, measurement, and image correction tools to quantify fluorescence signals and for image analysis.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144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t xml:space="preserve">At the end of the imaging session, remove the sample/animal, turn-off the system, and clean the imaging stage to minimize damage to the system.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Representative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NIRF images taken from rodents with abdominal aortic aneurysms (AAAs) are shown in Figures 1-2. An activatable fluorescent probe was injected systemically via the tail vein to visualize matrix metalloproteinase-2 (MMP2) activity. MMP2 is an elastolytic enzyme involved in the degradation of the extracellular matrix that plays a major role in the initiation and progression of AAA. All images were acquired using a 625 nm excitation filter, a 700 nm emission filter, and 60 seconds exposure time.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object w:dxaOrig="4285" w:dyaOrig="2825">
          <v:rect xmlns:o="urn:schemas-microsoft-com:office:office" xmlns:v="urn:schemas-microsoft-com:vml" id="rectole0000000000" style="width:214.250000pt;height:141.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representative </w:t>
      </w:r>
      <w:r>
        <w:rPr>
          <w:rFonts w:ascii="Times New Roman" w:hAnsi="Times New Roman" w:cs="Times New Roman" w:eastAsia="Times New Roman"/>
          <w:b/>
          <w:i/>
          <w:color w:val="auto"/>
          <w:spacing w:val="0"/>
          <w:position w:val="0"/>
          <w:sz w:val="22"/>
          <w:shd w:fill="auto" w:val="clear"/>
        </w:rPr>
        <w:t xml:space="preserve">in vivo</w:t>
      </w:r>
      <w:r>
        <w:rPr>
          <w:rFonts w:ascii="Times New Roman" w:hAnsi="Times New Roman" w:cs="Times New Roman" w:eastAsia="Times New Roman"/>
          <w:b/>
          <w:color w:val="auto"/>
          <w:spacing w:val="0"/>
          <w:position w:val="0"/>
          <w:sz w:val="22"/>
          <w:shd w:fill="auto" w:val="clear"/>
        </w:rPr>
        <w:t xml:space="preserve"> NIRF image of an apolipoprotein E-deficient mouse that developed an AAA following infusion of angiotensin-II. Most of the small spots showing high signal are from skin autofluorescence (yellow arrows). The vasculature can be visualized as tubular structures with high fluorescence signals (red arrow). Scalebar: 1 cm.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2 shows an increase in MMP2 activity in the aneurysmal region of the abdominal aorta, as seen by the observed increase in signal intensity relative to healthy regions of the abdominal aorta. This result is consistent with literature showing elevated MMP2 levels within AAAs. Excess fluorescent probes were filtered and accumulated in the kidneys, leading to bright fluorescent signals.</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object w:dxaOrig="4285" w:dyaOrig="4037">
          <v:rect xmlns:o="urn:schemas-microsoft-com:office:office" xmlns:v="urn:schemas-microsoft-com:vml" id="rectole0000000001" style="width:214.250000pt;height:201.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NIRF images of AAAs from two different animal models: (A) a suprarenal AAA in angiotensin II-infused apolipoprotein-E deficient mouse and (B) an infrarenal AAA in rat infused with porcine pancreatic elastase. Yellow arrows point to the AAAs. Scalebars: 3 mm.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NIRF imaging relies on fluorescent probes to quantify and visualize biomolecular assemblies in tissues. Absorbed photon energy from near-infrared light excites fluorescent molecules to a higher energy state, and the emitted light with a longer characteristic wavelength is captured by a fluorescence imaging system. Here, the application of NIRF imaging to study MMP2 activity in abdominal aortic aneurysms both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was demonstrated. Unlike SPECT or PET, which is considered to be the gold standard in studying metabolic processes in the body noninvasively, NIRF imaging is a rapid and high-throughput imaging technique that does not involve ionizing radiation. One of the limitations of this modality is its relatively small penetration depth. Although this limitation makes clinical imaging of deep tissues challenging, NIRF imaging plays an important role studying tumors and cardiovascular diseases in small animals.</w:t>
      </w:r>
    </w:p>
    <w:p>
      <w:pPr>
        <w:spacing w:before="0" w:after="120" w:line="240"/>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Given the appropriate fluorescent probes, many molecular structures can be visualized using the presented NIRF imaging procedures to study both disease initiation and progression in small animal models. Specific applications include </w:t>
      </w:r>
      <w:r>
        <w:rPr>
          <w:rFonts w:ascii="Times New Roman" w:hAnsi="Times New Roman" w:cs="Times New Roman" w:eastAsia="Times New Roman"/>
          <w:i/>
          <w:color w:val="auto"/>
          <w:spacing w:val="0"/>
          <w:position w:val="0"/>
          <w:sz w:val="22"/>
          <w:shd w:fill="auto" w:val="clear"/>
        </w:rPr>
        <w:t xml:space="preserve">ex vivo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in vivo</w:t>
      </w:r>
      <w:r>
        <w:rPr>
          <w:rFonts w:ascii="Times New Roman" w:hAnsi="Times New Roman" w:cs="Times New Roman" w:eastAsia="Times New Roman"/>
          <w:color w:val="auto"/>
          <w:spacing w:val="0"/>
          <w:position w:val="0"/>
          <w:sz w:val="22"/>
          <w:shd w:fill="auto" w:val="clear"/>
        </w:rPr>
        <w:t xml:space="preserve"> 1) evaluation of matrix-metalloproteinase activity in rodent vasculatures, 2) early tumor detection in different types of cancers, and 3) assessment of nanoparticle pharmacokinetics and biodistribution for therapeutic applications. In addition to increased MMP2 activity within AAAs, other MMP fluorescent probes have been utilized to study atherosclerosis progression and to characterize cardiac extracellular matrix composition following a myocardial infarction. Furthermore, the fluorophore Indocyanine Green has been used to study tissue perfusion in murine models of hindlimb ischemia. To elaborate more on the application of NIRF imaging on early cancer detection, tumor-targeting NIRF dyes can be used to assess for tumor margins to assist in resection procedures. The integration of near-infrared fluorophores into nanoparticles developed for drug delivery allows scientists to develop more effective nanoparticle-based therapeutics for a variety of diseases. Lastly, the ability to spatially localize the fluorescent signal in whole animals or intact tissue is a clear advantage over other conventional enzymatic assays (gel zymography) and protein analysis (Western Blotting) that requires animals to be sacrificed and tissues to be homogenized.</w:t>
      </w:r>
    </w:p>
    <w:p>
      <w:pPr>
        <w:spacing w:before="0" w:after="120" w:line="240"/>
        <w:ind w:right="0" w:left="0" w:firstLine="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120" w:line="240"/>
        <w:ind w:right="0" w:left="0" w:firstLine="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120" w:line="240"/>
        <w:ind w:right="0" w:left="0" w:firstLine="72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