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DA" w:rsidRPr="00111F28" w:rsidRDefault="005A61DA" w:rsidP="006C6EA3">
      <w:pPr>
        <w:pStyle w:val="Heading1"/>
        <w:ind w:firstLine="0"/>
      </w:pPr>
      <w:r w:rsidRPr="005A61DA">
        <w:t xml:space="preserve">PI </w:t>
      </w:r>
      <w:r w:rsidRPr="00111F28">
        <w:t>Name</w:t>
      </w:r>
      <w:r w:rsidRPr="005A61DA">
        <w:t>:</w:t>
      </w:r>
      <w:r w:rsidRPr="00111F28">
        <w:t xml:space="preserve">  </w:t>
      </w:r>
      <w:r w:rsidR="00111F28" w:rsidRPr="00111F28">
        <w:t>Alexander S Rattner</w:t>
      </w:r>
      <w:r w:rsidR="007D4D79">
        <w:t xml:space="preserve">, Sanjay </w:t>
      </w:r>
      <w:proofErr w:type="spellStart"/>
      <w:r w:rsidR="007D4D79">
        <w:t>Adhikari</w:t>
      </w:r>
      <w:proofErr w:type="spellEnd"/>
    </w:p>
    <w:p w:rsidR="00431CD6" w:rsidRDefault="005A61DA" w:rsidP="00431CD6">
      <w:pPr>
        <w:pStyle w:val="Heading1"/>
        <w:ind w:firstLine="0"/>
      </w:pPr>
      <w:r w:rsidRPr="005A61DA">
        <w:t xml:space="preserve">Science Education Title: </w:t>
      </w:r>
      <w:r w:rsidR="007D4D79">
        <w:t>Buoyancy and Drag on Immersed Bodies</w:t>
      </w:r>
    </w:p>
    <w:p w:rsidR="00111F28" w:rsidRPr="00111F28" w:rsidRDefault="00111F28" w:rsidP="00111F28"/>
    <w:p w:rsidR="005A61DA" w:rsidRPr="005A61DA" w:rsidRDefault="00825C51" w:rsidP="006C6EA3">
      <w:pPr>
        <w:pStyle w:val="Heading1"/>
        <w:ind w:firstLine="0"/>
      </w:pPr>
      <w:r>
        <w:t>Overview</w:t>
      </w:r>
    </w:p>
    <w:p w:rsidR="005C35FF" w:rsidRDefault="005C35FF" w:rsidP="006A1631">
      <w:r>
        <w:t xml:space="preserve">Objects, vehicles, and organisms immersed in fluid mediums experience forces from the surrounding fluid in the form of </w:t>
      </w:r>
      <w:r w:rsidRPr="005C35FF">
        <w:rPr>
          <w:i/>
        </w:rPr>
        <w:t>buoyancy</w:t>
      </w:r>
      <w:r>
        <w:t xml:space="preserve"> – a vertical upward force due to fluid weight, </w:t>
      </w:r>
      <w:r w:rsidRPr="005C35FF">
        <w:rPr>
          <w:i/>
        </w:rPr>
        <w:t>drag</w:t>
      </w:r>
      <w:r>
        <w:t xml:space="preserve"> – a resistive force opposite the direction of motion, and </w:t>
      </w:r>
      <w:r w:rsidRPr="005C35FF">
        <w:rPr>
          <w:i/>
        </w:rPr>
        <w:t>lift</w:t>
      </w:r>
      <w:r>
        <w:t xml:space="preserve"> – a force perpendicular to the direction of motion. Prediction and characterization of these forces is critical </w:t>
      </w:r>
      <w:r w:rsidR="008F70FF">
        <w:t>to engineering vehicles and understanding the motion of swimming and flying organisms.</w:t>
      </w:r>
    </w:p>
    <w:p w:rsidR="007D4D79" w:rsidRDefault="00565531" w:rsidP="006A1631">
      <w:r>
        <w:t xml:space="preserve">In this </w:t>
      </w:r>
      <w:r w:rsidR="00EA4B92">
        <w:t>experiment,</w:t>
      </w:r>
      <w:r>
        <w:t xml:space="preserve"> the balance of buoyancy</w:t>
      </w:r>
      <w:r w:rsidR="00EA4B92">
        <w:t>, weight,</w:t>
      </w:r>
      <w:r>
        <w:t xml:space="preserve"> and drag forces on submerged bodies will be investigated by tracking the rise velocity of air bubbles and oil droplets in a glycerin </w:t>
      </w:r>
      <w:r w:rsidR="00EA4B92">
        <w:t>medium</w:t>
      </w:r>
      <w:r>
        <w:t xml:space="preserve">. The resulting </w:t>
      </w:r>
      <w:r w:rsidR="00EA4B92">
        <w:t xml:space="preserve">drag coefficients at </w:t>
      </w:r>
      <w:r>
        <w:t>terminal rise velocities will be compared with theoretical values.</w:t>
      </w:r>
    </w:p>
    <w:p w:rsidR="006A1631" w:rsidRDefault="006A1631" w:rsidP="006A1631"/>
    <w:p w:rsidR="005A61DA" w:rsidRPr="005A61DA" w:rsidRDefault="00825C51" w:rsidP="006C6EA3">
      <w:pPr>
        <w:pStyle w:val="Heading1"/>
        <w:ind w:firstLine="0"/>
      </w:pPr>
      <w:r>
        <w:t>Principles</w:t>
      </w:r>
    </w:p>
    <w:p w:rsidR="0056064E" w:rsidRDefault="00565531" w:rsidP="00953A71">
      <w:r>
        <w:t>When a body rises in a fluid medium, it experiences the external forces of gravity, buoyancy, and fluid drag. The force from gravity is weight (</w:t>
      </w:r>
      <w:r w:rsidRPr="00565531">
        <w:rPr>
          <w:i/>
        </w:rPr>
        <w:t>W</w:t>
      </w:r>
      <w:r w:rsidRPr="00565531">
        <w:t>)</w:t>
      </w:r>
      <w:r>
        <w:t xml:space="preserve">, and acts downward with magnitude </w:t>
      </w:r>
      <w:r w:rsidR="00954D34" w:rsidRPr="00954D34">
        <w:rPr>
          <w:i/>
        </w:rPr>
        <w:t>W</w:t>
      </w:r>
      <w:r w:rsidR="00954D34">
        <w:t xml:space="preserve"> = </w:t>
      </w:r>
      <w:r w:rsidRPr="00565531">
        <w:rPr>
          <w:i/>
        </w:rPr>
        <w:t>mg</w:t>
      </w:r>
      <w:r>
        <w:t xml:space="preserve"> (</w:t>
      </w:r>
      <w:r w:rsidRPr="00565531">
        <w:rPr>
          <w:i/>
        </w:rPr>
        <w:t>m</w:t>
      </w:r>
      <w:r>
        <w:t xml:space="preserve"> is the mass of the body, and </w:t>
      </w:r>
      <w:r w:rsidRPr="00565531">
        <w:rPr>
          <w:i/>
        </w:rPr>
        <w:t>g</w:t>
      </w:r>
      <w:r>
        <w:t xml:space="preserve"> is the gravitational acceleration, 9.8 m s</w:t>
      </w:r>
      <w:r w:rsidRPr="00565531">
        <w:rPr>
          <w:vertAlign w:val="superscript"/>
        </w:rPr>
        <w:t>-2</w:t>
      </w:r>
      <w:r>
        <w:t xml:space="preserve">). </w:t>
      </w:r>
    </w:p>
    <w:p w:rsidR="00565531" w:rsidRDefault="00565531" w:rsidP="00953A71">
      <w:r>
        <w:t>The buoyancy force (</w:t>
      </w:r>
      <w:r w:rsidRPr="00565531">
        <w:rPr>
          <w:i/>
        </w:rPr>
        <w:t>F</w:t>
      </w:r>
      <w:r w:rsidRPr="00565531">
        <w:rPr>
          <w:vertAlign w:val="subscript"/>
        </w:rPr>
        <w:t>b</w:t>
      </w:r>
      <w:r>
        <w:t xml:space="preserve">) acts upward, opposing gravity. Pressure increases with depth in a fluid medium due to the </w:t>
      </w:r>
      <w:r w:rsidR="00954D34">
        <w:t xml:space="preserve">greater </w:t>
      </w:r>
      <w:r>
        <w:t xml:space="preserve">weight of fluid above </w:t>
      </w:r>
      <w:r w:rsidR="00954D34">
        <w:t>deeper</w:t>
      </w:r>
      <w:r>
        <w:t xml:space="preserve"> point</w:t>
      </w:r>
      <w:r w:rsidR="00954D34">
        <w:t>s</w:t>
      </w:r>
      <w:r>
        <w:t xml:space="preserve"> in the medium. </w:t>
      </w:r>
      <w:r w:rsidR="00954D34">
        <w:t xml:space="preserve">Thus, the pressure force acting upward on the bottom of an immersed body is greater than the pressure force acting downward on the top of the body, resulting in the upward buoyancy force. The buoyancy force magnitude is </w:t>
      </w:r>
      <w:r w:rsidR="00954D34" w:rsidRPr="00954D34">
        <w:rPr>
          <w:i/>
        </w:rPr>
        <w:t>F</w:t>
      </w:r>
      <w:r w:rsidR="00954D34" w:rsidRPr="00954D34">
        <w:rPr>
          <w:vertAlign w:val="subscript"/>
        </w:rPr>
        <w:t>b</w:t>
      </w:r>
      <w:r w:rsidR="00954D34">
        <w:t xml:space="preserve"> = </w:t>
      </w:r>
      <w:proofErr w:type="spellStart"/>
      <w:r w:rsidR="00954D34" w:rsidRPr="00954D34">
        <w:rPr>
          <w:i/>
        </w:rPr>
        <w:t>ρ</w:t>
      </w:r>
      <w:r w:rsidR="00954D34" w:rsidRPr="00954D34">
        <w:rPr>
          <w:vertAlign w:val="subscript"/>
        </w:rPr>
        <w:t>f</w:t>
      </w:r>
      <w:r w:rsidR="00954D34" w:rsidRPr="00954D34">
        <w:rPr>
          <w:i/>
          <w:strike/>
        </w:rPr>
        <w:t>V</w:t>
      </w:r>
      <w:r w:rsidR="00954D34" w:rsidRPr="00954D34">
        <w:rPr>
          <w:i/>
        </w:rPr>
        <w:t>g</w:t>
      </w:r>
      <w:proofErr w:type="spellEnd"/>
      <w:r w:rsidR="00954D34" w:rsidRPr="00954D34">
        <w:t xml:space="preserve">, where </w:t>
      </w:r>
      <w:proofErr w:type="spellStart"/>
      <w:r w:rsidR="00954D34" w:rsidRPr="00954D34">
        <w:rPr>
          <w:i/>
        </w:rPr>
        <w:t>ρ</w:t>
      </w:r>
      <w:r w:rsidR="00954D34" w:rsidRPr="00954D34">
        <w:rPr>
          <w:vertAlign w:val="subscript"/>
        </w:rPr>
        <w:t>f</w:t>
      </w:r>
      <w:proofErr w:type="spellEnd"/>
      <w:r w:rsidR="00954D34" w:rsidRPr="00954D34">
        <w:t xml:space="preserve"> </w:t>
      </w:r>
      <w:r w:rsidR="00954D34">
        <w:t xml:space="preserve">is the density of the surrounding fluid medium and </w:t>
      </w:r>
      <w:r w:rsidR="00954D34" w:rsidRPr="00954D34">
        <w:rPr>
          <w:i/>
          <w:strike/>
        </w:rPr>
        <w:t>V</w:t>
      </w:r>
      <w:r w:rsidR="00954D34">
        <w:t xml:space="preserve"> is the volume of the immersed body. This is equal to the weight of fluid displaced by the submerged body.</w:t>
      </w:r>
    </w:p>
    <w:p w:rsidR="00954D34" w:rsidRDefault="00954D34" w:rsidP="00953A71">
      <w:r>
        <w:t xml:space="preserve">When a body moves through a fluid medium, it experiences frictional resistance from the fluid, called </w:t>
      </w:r>
      <w:r w:rsidRPr="00954D34">
        <w:rPr>
          <w:i/>
        </w:rPr>
        <w:t>drag</w:t>
      </w:r>
      <w:r>
        <w:t>. The drag force (</w:t>
      </w:r>
      <w:r w:rsidRPr="00954D34">
        <w:rPr>
          <w:i/>
        </w:rPr>
        <w:t>F</w:t>
      </w:r>
      <w:r w:rsidRPr="00954D34">
        <w:rPr>
          <w:vertAlign w:val="subscript"/>
        </w:rPr>
        <w:t>D</w:t>
      </w:r>
      <w:r>
        <w:t>) acts opposite to the direction of motion, and depends on the shape and size of the body, its velocity, and the fluid properties.</w:t>
      </w:r>
      <w:r w:rsidR="00D23DC4">
        <w:t xml:space="preserve"> In general, drag force can be modeled as:</w:t>
      </w:r>
    </w:p>
    <w:p w:rsidR="0017778E" w:rsidRDefault="0017778E" w:rsidP="0017778E">
      <w:pPr>
        <w:pStyle w:val="Equation"/>
      </w:pPr>
      <w:r>
        <w:tab/>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D</m:t>
            </m:r>
          </m:sub>
        </m:sSub>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sSub>
          <m:sSubPr>
            <m:ctrlPr>
              <w:rPr>
                <w:rFonts w:ascii="Cambria Math" w:hAnsi="Cambria Math"/>
                <w:i/>
                <w:sz w:val="28"/>
              </w:rPr>
            </m:ctrlPr>
          </m:sSubPr>
          <m:e>
            <m:r>
              <w:rPr>
                <w:rFonts w:ascii="Cambria Math" w:hAnsi="Cambria Math"/>
                <w:sz w:val="28"/>
              </w:rPr>
              <m:t>C</m:t>
            </m:r>
          </m:e>
          <m:sub>
            <m:r>
              <w:rPr>
                <w:rFonts w:ascii="Cambria Math" w:hAnsi="Cambria Math"/>
                <w:sz w:val="28"/>
              </w:rPr>
              <m:t>D</m:t>
            </m:r>
          </m:sub>
        </m:sSub>
        <m:d>
          <m:dPr>
            <m:ctrlPr>
              <w:rPr>
                <w:rFonts w:ascii="Cambria Math" w:hAnsi="Cambria Math"/>
                <w:i/>
                <w:sz w:val="28"/>
              </w:rPr>
            </m:ctrlPr>
          </m:dPr>
          <m:e>
            <m:r>
              <m:rPr>
                <m:sty m:val="p"/>
              </m:rPr>
              <w:rPr>
                <w:rFonts w:ascii="Cambria Math" w:hAnsi="Cambria Math"/>
                <w:sz w:val="28"/>
              </w:rPr>
              <m:t>Re</m:t>
            </m:r>
          </m:e>
        </m:d>
        <m:sSub>
          <m:sSubPr>
            <m:ctrlPr>
              <w:rPr>
                <w:rFonts w:ascii="Cambria Math" w:hAnsi="Cambria Math"/>
                <w:i/>
                <w:sz w:val="28"/>
              </w:rPr>
            </m:ctrlPr>
          </m:sSubPr>
          <m:e>
            <m:r>
              <w:rPr>
                <w:rFonts w:ascii="Cambria Math" w:hAnsi="Cambria Math"/>
                <w:sz w:val="28"/>
              </w:rPr>
              <m:t>ρ</m:t>
            </m:r>
          </m:e>
          <m:sub>
            <m:r>
              <m:rPr>
                <m:sty m:val="p"/>
              </m:rPr>
              <w:rPr>
                <w:rFonts w:ascii="Cambria Math" w:hAnsi="Cambria Math"/>
                <w:sz w:val="28"/>
              </w:rPr>
              <m:t>f</m:t>
            </m:r>
          </m:sub>
        </m:sSub>
        <m:sSup>
          <m:sSupPr>
            <m:ctrlPr>
              <w:rPr>
                <w:rFonts w:ascii="Cambria Math" w:hAnsi="Cambria Math"/>
                <w:i/>
                <w:sz w:val="28"/>
              </w:rPr>
            </m:ctrlPr>
          </m:sSupPr>
          <m:e>
            <m:r>
              <w:rPr>
                <w:rFonts w:ascii="Cambria Math" w:hAnsi="Cambria Math"/>
                <w:sz w:val="28"/>
              </w:rPr>
              <m:t>U</m:t>
            </m:r>
          </m:e>
          <m:sup>
            <m:r>
              <w:rPr>
                <w:rFonts w:ascii="Cambria Math" w:hAnsi="Cambria Math"/>
                <w:sz w:val="28"/>
              </w:rPr>
              <m:t>2</m:t>
            </m:r>
          </m:sup>
        </m:sSup>
        <m:r>
          <w:rPr>
            <w:rFonts w:ascii="Cambria Math" w:hAnsi="Cambria Math"/>
            <w:sz w:val="28"/>
          </w:rPr>
          <m:t>A</m:t>
        </m:r>
      </m:oMath>
      <w:r>
        <w:tab/>
        <w:t>(1)</w:t>
      </w:r>
    </w:p>
    <w:p w:rsidR="007D4D79" w:rsidRDefault="00D23DC4" w:rsidP="0017778E">
      <w:pPr>
        <w:rPr>
          <w:rFonts w:eastAsiaTheme="minorEastAsia"/>
        </w:rPr>
      </w:pPr>
      <w:r>
        <w:t xml:space="preserve">Here, </w:t>
      </w:r>
      <w:r w:rsidRPr="00D23DC4">
        <w:rPr>
          <w:i/>
        </w:rPr>
        <w:t>U</w:t>
      </w:r>
      <w:r>
        <w:t xml:space="preserve"> is the velocity of the immersed body and </w:t>
      </w:r>
      <w:r w:rsidRPr="00D23DC4">
        <w:rPr>
          <w:i/>
        </w:rPr>
        <w:t>A</w:t>
      </w:r>
      <w:r>
        <w:t xml:space="preserve"> is the face area of the body (projected area in the direction of motion</w:t>
      </w:r>
      <w:r w:rsidR="00EA4B92">
        <w:t>)</w:t>
      </w:r>
      <w:r>
        <w:t xml:space="preserve">. </w:t>
      </w:r>
      <w:r w:rsidRPr="00D23DC4">
        <w:rPr>
          <w:i/>
        </w:rPr>
        <w:t>C</w:t>
      </w:r>
      <w:r w:rsidRPr="00D23DC4">
        <w:rPr>
          <w:vertAlign w:val="subscript"/>
        </w:rPr>
        <w:t>D</w:t>
      </w:r>
      <w:r>
        <w:t xml:space="preserve"> is the drag coefficient, which depends on the shape of the body and its Reynolds number – a measure of the relative magnitude of inertial and viscous fluid forces on the body. Here</w:t>
      </w:r>
      <w:proofErr w:type="gramStart"/>
      <w:r>
        <w:t xml:space="preserve">, </w:t>
      </w:r>
      <w:proofErr w:type="gramEnd"/>
      <m:oMath>
        <m:r>
          <m:rPr>
            <m:sty m:val="p"/>
          </m:rPr>
          <w:rPr>
            <w:rFonts w:ascii="Cambria Math" w:hAnsi="Cambria Math"/>
          </w:rPr>
          <m:t>Re</m:t>
        </m:r>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ρ</m:t>
                </m:r>
              </m:e>
              <m:sub>
                <m:r>
                  <m:rPr>
                    <m:sty m:val="p"/>
                  </m:rPr>
                  <w:rPr>
                    <w:rFonts w:ascii="Cambria Math" w:hAnsi="Cambria Math"/>
                  </w:rPr>
                  <m:t>f</m:t>
                </m:r>
              </m:sub>
            </m:sSub>
            <m:r>
              <w:rPr>
                <w:rFonts w:ascii="Cambria Math" w:hAnsi="Cambria Math"/>
              </w:rPr>
              <m:t>UD</m:t>
            </m:r>
          </m:num>
          <m:den>
            <m:sSub>
              <m:sSubPr>
                <m:ctrlPr>
                  <w:rPr>
                    <w:rFonts w:ascii="Cambria Math" w:hAnsi="Cambria Math"/>
                    <w:i/>
                  </w:rPr>
                </m:ctrlPr>
              </m:sSubPr>
              <m:e>
                <m:r>
                  <w:rPr>
                    <w:rFonts w:ascii="Cambria Math" w:hAnsi="Cambria Math"/>
                  </w:rPr>
                  <m:t>μ</m:t>
                </m:r>
              </m:e>
              <m:sub>
                <m:r>
                  <m:rPr>
                    <m:sty m:val="p"/>
                  </m:rPr>
                  <w:rPr>
                    <w:rFonts w:ascii="Cambria Math" w:hAnsi="Cambria Math"/>
                  </w:rPr>
                  <m:t>f</m:t>
                </m:r>
              </m:sub>
            </m:sSub>
          </m:den>
        </m:f>
      </m:oMath>
      <w:r w:rsidR="0073477A">
        <w:rPr>
          <w:rFonts w:eastAsiaTheme="minorEastAsia"/>
        </w:rPr>
        <w:t xml:space="preserve">, where </w:t>
      </w:r>
      <w:r w:rsidR="0073477A" w:rsidRPr="0073477A">
        <w:rPr>
          <w:rFonts w:eastAsiaTheme="minorEastAsia"/>
          <w:i/>
        </w:rPr>
        <w:t>D</w:t>
      </w:r>
      <w:r w:rsidR="0073477A">
        <w:rPr>
          <w:rFonts w:eastAsiaTheme="minorEastAsia"/>
        </w:rPr>
        <w:t xml:space="preserve"> is a relevant length scale for the body</w:t>
      </w:r>
      <w:r w:rsidR="00EA4B92">
        <w:rPr>
          <w:rFonts w:eastAsiaTheme="minorEastAsia"/>
        </w:rPr>
        <w:t xml:space="preserve"> (diameter for spheres and cylinders)</w:t>
      </w:r>
      <w:r w:rsidR="0073477A">
        <w:rPr>
          <w:rFonts w:eastAsiaTheme="minorEastAsia"/>
        </w:rPr>
        <w:t xml:space="preserve"> and </w:t>
      </w:r>
      <m:oMath>
        <m:sSub>
          <m:sSubPr>
            <m:ctrlPr>
              <w:rPr>
                <w:rFonts w:ascii="Cambria Math" w:hAnsi="Cambria Math"/>
                <w:i/>
              </w:rPr>
            </m:ctrlPr>
          </m:sSubPr>
          <m:e>
            <m:r>
              <w:rPr>
                <w:rFonts w:ascii="Cambria Math" w:hAnsi="Cambria Math"/>
              </w:rPr>
              <m:t>μ</m:t>
            </m:r>
          </m:e>
          <m:sub>
            <m:r>
              <m:rPr>
                <m:sty m:val="p"/>
              </m:rPr>
              <w:rPr>
                <w:rFonts w:ascii="Cambria Math" w:hAnsi="Cambria Math"/>
              </w:rPr>
              <m:t>f</m:t>
            </m:r>
          </m:sub>
        </m:sSub>
      </m:oMath>
      <w:r w:rsidR="0073477A">
        <w:rPr>
          <w:rFonts w:eastAsiaTheme="minorEastAsia"/>
        </w:rPr>
        <w:t xml:space="preserve"> is the fluid viscosity.</w:t>
      </w:r>
    </w:p>
    <w:p w:rsidR="0056064E" w:rsidRPr="0056064E" w:rsidRDefault="0073477A" w:rsidP="0017778E">
      <w:r>
        <w:t>In this experiment, air bubbles and oil droplets will be injected into a high viscosity glycerin bath</w:t>
      </w:r>
      <w:r w:rsidR="00C24605">
        <w:t>, and rise to the free surface</w:t>
      </w:r>
      <w:r>
        <w:t xml:space="preserve">. A free body diagram on </w:t>
      </w:r>
      <w:r w:rsidR="00C24605">
        <w:t>a</w:t>
      </w:r>
      <w:r>
        <w:t xml:space="preserve"> </w:t>
      </w:r>
      <w:r w:rsidR="00C24605">
        <w:t>bubble/droplet (</w:t>
      </w:r>
      <w:r w:rsidR="00C24605" w:rsidRPr="00C24605">
        <w:rPr>
          <w:highlight w:val="yellow"/>
        </w:rPr>
        <w:t>Fig. 1</w:t>
      </w:r>
      <w:r w:rsidR="00C24605">
        <w:t xml:space="preserve">) </w:t>
      </w:r>
      <w:r w:rsidR="0056064E">
        <w:t xml:space="preserve">rising at the </w:t>
      </w:r>
      <w:r w:rsidR="0056064E">
        <w:lastRenderedPageBreak/>
        <w:t>terminal velocity (not accelerating) gives</w:t>
      </w:r>
      <w:r w:rsidR="00C24605">
        <w:t xml:space="preserve"> the </w:t>
      </w:r>
      <w:r w:rsidR="0056064E">
        <w:t xml:space="preserve">vertical </w:t>
      </w:r>
      <w:r w:rsidR="00C24605">
        <w:t xml:space="preserve">force balance: </w:t>
      </w:r>
      <w:r w:rsidR="00C24605" w:rsidRPr="00C24605">
        <w:rPr>
          <w:i/>
        </w:rPr>
        <w:t>F</w:t>
      </w:r>
      <w:r w:rsidR="00C24605" w:rsidRPr="00C24605">
        <w:rPr>
          <w:vertAlign w:val="subscript"/>
        </w:rPr>
        <w:t>B</w:t>
      </w:r>
      <w:r w:rsidR="00C24605">
        <w:t xml:space="preserve"> – </w:t>
      </w:r>
      <w:r w:rsidR="00C24605" w:rsidRPr="00C24605">
        <w:rPr>
          <w:i/>
        </w:rPr>
        <w:t>W</w:t>
      </w:r>
      <w:r w:rsidR="00C24605">
        <w:t xml:space="preserve"> – </w:t>
      </w:r>
      <w:r w:rsidR="00C24605" w:rsidRPr="00C24605">
        <w:rPr>
          <w:i/>
        </w:rPr>
        <w:t>F</w:t>
      </w:r>
      <w:r w:rsidR="00C24605" w:rsidRPr="00C24605">
        <w:rPr>
          <w:vertAlign w:val="subscript"/>
        </w:rPr>
        <w:t>D</w:t>
      </w:r>
      <w:r w:rsidR="0056064E">
        <w:t xml:space="preserve"> = </w:t>
      </w:r>
      <w:proofErr w:type="gramStart"/>
      <w:r w:rsidR="0056064E">
        <w:t>0</w:t>
      </w:r>
      <w:proofErr w:type="gramEnd"/>
      <w:r w:rsidR="0056064E">
        <w:t xml:space="preserve">. Substituting earlier results, and assuming a spherical bubble (volume </w:t>
      </w:r>
      <w:r w:rsidR="0056064E" w:rsidRPr="00954D34">
        <w:rPr>
          <w:i/>
          <w:strike/>
        </w:rPr>
        <w:t>V</w:t>
      </w:r>
      <w:r w:rsidR="0056064E">
        <w:t xml:space="preserve"> = (1/6</w:t>
      </w:r>
      <w:proofErr w:type="gramStart"/>
      <w:r w:rsidR="0056064E">
        <w:t>)</w:t>
      </w:r>
      <w:r w:rsidR="0056064E" w:rsidRPr="0056064E">
        <w:rPr>
          <w:i/>
        </w:rPr>
        <w:t>π</w:t>
      </w:r>
      <w:r w:rsidR="0056064E">
        <w:rPr>
          <w:i/>
        </w:rPr>
        <w:t>D</w:t>
      </w:r>
      <w:r w:rsidR="0056064E" w:rsidRPr="0056064E">
        <w:rPr>
          <w:vertAlign w:val="superscript"/>
        </w:rPr>
        <w:t>3</w:t>
      </w:r>
      <w:proofErr w:type="gramEnd"/>
      <w:r w:rsidR="0056064E" w:rsidRPr="0056064E">
        <w:t>,</w:t>
      </w:r>
      <w:r w:rsidR="0056064E">
        <w:t xml:space="preserve"> face area            </w:t>
      </w:r>
      <w:r w:rsidR="0056064E" w:rsidRPr="0056064E">
        <w:rPr>
          <w:i/>
        </w:rPr>
        <w:t>A</w:t>
      </w:r>
      <w:r w:rsidR="0056064E" w:rsidRPr="0056064E">
        <w:t xml:space="preserve"> = (1/4)</w:t>
      </w:r>
      <w:r w:rsidR="0056064E" w:rsidRPr="0056064E">
        <w:rPr>
          <w:i/>
        </w:rPr>
        <w:t>πD</w:t>
      </w:r>
      <w:r w:rsidR="0056064E" w:rsidRPr="0056064E">
        <w:rPr>
          <w:vertAlign w:val="superscript"/>
        </w:rPr>
        <w:t>2</w:t>
      </w:r>
      <w:r w:rsidR="0056064E" w:rsidRPr="0056064E">
        <w:t xml:space="preserve">) </w:t>
      </w:r>
      <w:r w:rsidR="00EA4B92">
        <w:t>yields</w:t>
      </w:r>
      <w:r w:rsidR="0056064E" w:rsidRPr="0056064E">
        <w:t xml:space="preserve"> the following result</w:t>
      </w:r>
      <w:r w:rsidR="00EA4B92">
        <w:t xml:space="preserve"> (Eqn. 2)</w:t>
      </w:r>
      <w:r w:rsidR="0056064E" w:rsidRPr="0056064E">
        <w:t>. Here,</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hAnsi="Cambria Math"/>
              </w:rPr>
              <m:t>ρ</m:t>
            </m:r>
          </m:e>
          <m:sub>
            <m:r>
              <m:rPr>
                <m:sty m:val="p"/>
              </m:rPr>
              <w:rPr>
                <w:rFonts w:ascii="Cambria Math" w:hAnsi="Cambria Math"/>
              </w:rPr>
              <m:t>b</m:t>
            </m:r>
          </m:sub>
        </m:sSub>
      </m:oMath>
      <w:r w:rsidR="0056064E" w:rsidRPr="0056064E">
        <w:rPr>
          <w:rFonts w:eastAsiaTheme="minorEastAsia"/>
        </w:rPr>
        <w:t xml:space="preserve"> is the </w:t>
      </w:r>
      <w:r w:rsidR="0056064E">
        <w:rPr>
          <w:rFonts w:eastAsiaTheme="minorEastAsia"/>
        </w:rPr>
        <w:t>density of the fluid inside the bubble/droplet.</w:t>
      </w:r>
    </w:p>
    <w:p w:rsidR="0056064E" w:rsidRDefault="0056064E" w:rsidP="0056064E">
      <w:pPr>
        <w:pStyle w:val="Equation"/>
      </w:pPr>
      <w:r>
        <w:tab/>
      </w:r>
      <m:oMath>
        <m:sSub>
          <m:sSubPr>
            <m:ctrlPr>
              <w:rPr>
                <w:rFonts w:ascii="Cambria Math" w:hAnsi="Cambria Math"/>
                <w:i/>
                <w:sz w:val="28"/>
              </w:rPr>
            </m:ctrlPr>
          </m:sSubPr>
          <m:e>
            <m:r>
              <w:rPr>
                <w:rFonts w:ascii="Cambria Math" w:hAnsi="Cambria Math"/>
                <w:sz w:val="28"/>
              </w:rPr>
              <m:t>C</m:t>
            </m:r>
          </m:e>
          <m:sub>
            <m:r>
              <w:rPr>
                <w:rFonts w:ascii="Cambria Math" w:hAnsi="Cambria Math"/>
                <w:sz w:val="28"/>
              </w:rPr>
              <m:t>D</m:t>
            </m:r>
          </m:sub>
        </m:sSub>
        <m:r>
          <w:rPr>
            <w:rFonts w:ascii="Cambria Math" w:hAnsi="Cambria Math"/>
            <w:sz w:val="28"/>
          </w:rPr>
          <m:t>=</m:t>
        </m:r>
        <m:f>
          <m:fPr>
            <m:ctrlPr>
              <w:rPr>
                <w:rFonts w:ascii="Cambria Math" w:hAnsi="Cambria Math"/>
                <w:i/>
                <w:sz w:val="28"/>
              </w:rPr>
            </m:ctrlPr>
          </m:fPr>
          <m:num>
            <m:r>
              <w:rPr>
                <w:rFonts w:ascii="Cambria Math" w:hAnsi="Cambria Math"/>
                <w:sz w:val="28"/>
              </w:rPr>
              <m:t>4</m:t>
            </m:r>
          </m:num>
          <m:den>
            <m:r>
              <w:rPr>
                <w:rFonts w:ascii="Cambria Math" w:hAnsi="Cambria Math"/>
                <w:sz w:val="28"/>
              </w:rPr>
              <m:t>3</m:t>
            </m:r>
          </m:den>
        </m:f>
        <m:f>
          <m:fPr>
            <m:ctrlPr>
              <w:rPr>
                <w:rFonts w:ascii="Cambria Math" w:hAnsi="Cambria Math"/>
                <w:i/>
                <w:sz w:val="28"/>
              </w:rPr>
            </m:ctrlPr>
          </m:fPr>
          <m:num>
            <m:r>
              <w:rPr>
                <w:rFonts w:ascii="Cambria Math" w:hAnsi="Cambria Math"/>
                <w:sz w:val="28"/>
              </w:rPr>
              <m:t>Dg</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ρ</m:t>
                    </m:r>
                  </m:e>
                  <m:sub>
                    <m:r>
                      <m:rPr>
                        <m:sty m:val="p"/>
                      </m:rPr>
                      <w:rPr>
                        <w:rFonts w:ascii="Cambria Math" w:hAnsi="Cambria Math"/>
                        <w:sz w:val="28"/>
                      </w:rPr>
                      <m:t>f</m:t>
                    </m:r>
                  </m:sub>
                </m:sSub>
                <m:sSub>
                  <m:sSubPr>
                    <m:ctrlPr>
                      <w:rPr>
                        <w:rFonts w:ascii="Cambria Math" w:hAnsi="Cambria Math"/>
                        <w:i/>
                        <w:sz w:val="28"/>
                      </w:rPr>
                    </m:ctrlPr>
                  </m:sSubPr>
                  <m:e>
                    <m:r>
                      <w:rPr>
                        <w:rFonts w:ascii="Cambria Math" w:hAnsi="Cambria Math"/>
                        <w:sz w:val="28"/>
                      </w:rPr>
                      <m:t>-ρ</m:t>
                    </m:r>
                  </m:e>
                  <m:sub>
                    <m:r>
                      <m:rPr>
                        <m:sty m:val="p"/>
                      </m:rPr>
                      <w:rPr>
                        <w:rFonts w:ascii="Cambria Math" w:hAnsi="Cambria Math"/>
                        <w:sz w:val="28"/>
                      </w:rPr>
                      <m:t>b</m:t>
                    </m:r>
                  </m:sub>
                </m:sSub>
              </m:e>
            </m:d>
          </m:num>
          <m:den>
            <m:sSub>
              <m:sSubPr>
                <m:ctrlPr>
                  <w:rPr>
                    <w:rFonts w:ascii="Cambria Math" w:hAnsi="Cambria Math"/>
                    <w:i/>
                    <w:sz w:val="28"/>
                  </w:rPr>
                </m:ctrlPr>
              </m:sSubPr>
              <m:e>
                <m:r>
                  <w:rPr>
                    <w:rFonts w:ascii="Cambria Math" w:hAnsi="Cambria Math"/>
                    <w:sz w:val="28"/>
                  </w:rPr>
                  <m:t>ρ</m:t>
                </m:r>
              </m:e>
              <m:sub>
                <m:r>
                  <m:rPr>
                    <m:sty m:val="p"/>
                  </m:rPr>
                  <w:rPr>
                    <w:rFonts w:ascii="Cambria Math" w:hAnsi="Cambria Math"/>
                    <w:sz w:val="28"/>
                  </w:rPr>
                  <m:t>f</m:t>
                </m:r>
              </m:sub>
            </m:sSub>
            <m:sSup>
              <m:sSupPr>
                <m:ctrlPr>
                  <w:rPr>
                    <w:rFonts w:ascii="Cambria Math" w:hAnsi="Cambria Math"/>
                    <w:i/>
                    <w:sz w:val="28"/>
                  </w:rPr>
                </m:ctrlPr>
              </m:sSupPr>
              <m:e>
                <m:r>
                  <w:rPr>
                    <w:rFonts w:ascii="Cambria Math" w:hAnsi="Cambria Math"/>
                    <w:sz w:val="28"/>
                  </w:rPr>
                  <m:t>U</m:t>
                </m:r>
              </m:e>
              <m:sup>
                <m:r>
                  <w:rPr>
                    <w:rFonts w:ascii="Cambria Math" w:hAnsi="Cambria Math"/>
                    <w:sz w:val="28"/>
                  </w:rPr>
                  <m:t>2</m:t>
                </m:r>
              </m:sup>
            </m:sSup>
          </m:den>
        </m:f>
      </m:oMath>
      <w:r>
        <w:tab/>
        <w:t>(2)</w:t>
      </w:r>
    </w:p>
    <w:p w:rsidR="0056064E" w:rsidRDefault="0056064E" w:rsidP="0017778E">
      <w:pPr>
        <w:rPr>
          <w:rFonts w:eastAsiaTheme="minorEastAsia"/>
        </w:rPr>
      </w:pPr>
      <w:r>
        <w:t>In this experiment,</w:t>
      </w:r>
      <w:r w:rsidR="0063574F">
        <w:t xml:space="preserve"> the drag coefficient (</w:t>
      </w: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0063574F">
        <w:rPr>
          <w:rFonts w:eastAsiaTheme="minorEastAsia"/>
        </w:rPr>
        <w:t>) for spheres</w:t>
      </w:r>
      <w:r>
        <w:rPr>
          <w:rFonts w:eastAsiaTheme="minorEastAsia"/>
        </w:rPr>
        <w:t xml:space="preserve"> will be measured based on the rise velocity of different size bubbles and droplets. These </w:t>
      </w:r>
      <w:r w:rsidR="0063574F">
        <w:rPr>
          <w:rFonts w:eastAsiaTheme="minorEastAsia"/>
        </w:rPr>
        <w:t>data will</w:t>
      </w:r>
      <w:r>
        <w:rPr>
          <w:rFonts w:eastAsiaTheme="minorEastAsia"/>
        </w:rPr>
        <w:t xml:space="preserve"> be compared with the theoretical result</w:t>
      </w:r>
      <w:r w:rsidR="0063574F">
        <w:rPr>
          <w:rFonts w:eastAsiaTheme="minorEastAsia"/>
        </w:rPr>
        <w:t xml:space="preserve"> of </w:t>
      </w:r>
      <w:r w:rsidR="0063574F">
        <w:rPr>
          <w:rFonts w:eastAsiaTheme="minorEastAsia"/>
        </w:rPr>
        <w:fldChar w:fldCharType="begin" w:fldLock="1"/>
      </w:r>
      <w:r w:rsidR="0063574F">
        <w:rPr>
          <w:rFonts w:eastAsiaTheme="minorEastAsia"/>
        </w:rPr>
        <w:instrText>ADDIN CSL_CITATION { "citationItems" : [ { "id" : "ITEM-1", "itemData" : { "author" : [ { "dropping-particle" : "", "family" : "Hadamard", "given" : "J S", "non-dropping-particle" : "", "parse-names" : false, "suffix" : "" } ], "container-title" : "Comp. Rend. Acad. Sci. Paris", "id" : "ITEM-1", "issued" : { "date-parts" : [ [ "1911" ] ] }, "page" : "1735-1755", "title" : "Motion of liquid drops (viscous)", "type" : "article-journal", "volume" : "154" }, "uris" : [ "http://www.mendeley.com/documents/?uuid=79003154-5261-4f9f-ba70-48754885f9ab" ] }, { "id" : "ITEM-2", "itemData" : { "author" : [ { "dropping-particle" : "", "family" : "Rybczynski", "given" : "W", "non-dropping-particle" : "", "parse-names" : false, "suffix" : "" } ], "container-title" : "Bull. Acad. Sci., Cracow, Series A", "id" : "ITEM-2", "issued" : { "date-parts" : [ [ "1911" ] ] }, "page" : "40", "title" : "On the translatory motion of a fluid sphere in a viscous medium", "type" : "article-journal" }, "uris" : [ "http://www.mendeley.com/documents/?uuid=330a40b4-64fa-49cc-a591-575404d34adc" ] } ], "mendeley" : { "formattedCitation" : "[1,2]", "plainTextFormattedCitation" : "[1,2]" }, "properties" : { "noteIndex" : 0 }, "schema" : "https://github.com/citation-style-language/schema/raw/master/csl-citation.json" }</w:instrText>
      </w:r>
      <w:r w:rsidR="0063574F">
        <w:rPr>
          <w:rFonts w:eastAsiaTheme="minorEastAsia"/>
        </w:rPr>
        <w:fldChar w:fldCharType="separate"/>
      </w:r>
      <w:r w:rsidR="0063574F" w:rsidRPr="0063574F">
        <w:rPr>
          <w:rFonts w:eastAsiaTheme="minorEastAsia"/>
          <w:noProof/>
        </w:rPr>
        <w:t>[1,2]</w:t>
      </w:r>
      <w:r w:rsidR="0063574F">
        <w:rPr>
          <w:rFonts w:eastAsiaTheme="minorEastAsia"/>
        </w:rPr>
        <w:fldChar w:fldCharType="end"/>
      </w:r>
      <w:r w:rsidR="0063574F">
        <w:rPr>
          <w:rFonts w:eastAsiaTheme="minorEastAsia"/>
        </w:rPr>
        <w:t xml:space="preserve"> for low Reynolds numbers (</w:t>
      </w:r>
      <m:oMath>
        <m:r>
          <m:rPr>
            <m:sty m:val="p"/>
          </m:rPr>
          <w:rPr>
            <w:rFonts w:ascii="Cambria Math" w:eastAsiaTheme="minorEastAsia" w:hAnsi="Cambria Math"/>
          </w:rPr>
          <m:t>Re</m:t>
        </m:r>
        <m:r>
          <w:rPr>
            <w:rFonts w:ascii="Cambria Math" w:eastAsiaTheme="minorEastAsia" w:hAnsi="Cambria Math"/>
          </w:rPr>
          <m:t>≲10</m:t>
        </m:r>
      </m:oMath>
      <w:r w:rsidR="0063574F">
        <w:rPr>
          <w:rFonts w:eastAsiaTheme="minorEastAsia"/>
        </w:rPr>
        <w:t xml:space="preserve">). </w:t>
      </w:r>
    </w:p>
    <w:p w:rsidR="0063574F" w:rsidRDefault="0063574F" w:rsidP="0063574F">
      <w:pPr>
        <w:pStyle w:val="Equation"/>
      </w:pPr>
      <w:r>
        <w:tab/>
      </w:r>
      <m:oMath>
        <m:sSub>
          <m:sSubPr>
            <m:ctrlPr>
              <w:rPr>
                <w:rFonts w:ascii="Cambria Math" w:hAnsi="Cambria Math"/>
                <w:i/>
                <w:sz w:val="32"/>
              </w:rPr>
            </m:ctrlPr>
          </m:sSubPr>
          <m:e>
            <m:r>
              <w:rPr>
                <w:rFonts w:ascii="Cambria Math" w:hAnsi="Cambria Math"/>
                <w:sz w:val="32"/>
              </w:rPr>
              <m:t>C</m:t>
            </m:r>
          </m:e>
          <m:sub>
            <m:r>
              <w:rPr>
                <w:rFonts w:ascii="Cambria Math" w:hAnsi="Cambria Math"/>
                <w:sz w:val="32"/>
              </w:rPr>
              <m:t>D,</m:t>
            </m:r>
            <m:r>
              <m:rPr>
                <m:sty m:val="p"/>
              </m:rPr>
              <w:rPr>
                <w:rFonts w:ascii="Cambria Math" w:hAnsi="Cambria Math"/>
                <w:sz w:val="32"/>
              </w:rPr>
              <m:t>theory</m:t>
            </m:r>
          </m:sub>
        </m:sSub>
        <m:r>
          <w:rPr>
            <w:rFonts w:ascii="Cambria Math" w:hAnsi="Cambria Math"/>
            <w:sz w:val="32"/>
          </w:rPr>
          <m:t>=</m:t>
        </m:r>
        <m:f>
          <m:fPr>
            <m:ctrlPr>
              <w:rPr>
                <w:rFonts w:ascii="Cambria Math" w:hAnsi="Cambria Math"/>
                <w:i/>
                <w:sz w:val="32"/>
              </w:rPr>
            </m:ctrlPr>
          </m:fPr>
          <m:num>
            <m:r>
              <w:rPr>
                <w:rFonts w:ascii="Cambria Math" w:hAnsi="Cambria Math"/>
                <w:sz w:val="32"/>
              </w:rPr>
              <m:t>16</m:t>
            </m:r>
          </m:num>
          <m:den>
            <m:r>
              <m:rPr>
                <m:sty m:val="p"/>
              </m:rPr>
              <w:rPr>
                <w:rFonts w:ascii="Cambria Math" w:hAnsi="Cambria Math"/>
                <w:sz w:val="32"/>
              </w:rPr>
              <m:t>Re</m:t>
            </m:r>
          </m:den>
        </m:f>
      </m:oMath>
      <w:r>
        <w:tab/>
        <w:t>(3)</w:t>
      </w:r>
    </w:p>
    <w:p w:rsidR="005A61DA" w:rsidRPr="00F53275" w:rsidRDefault="00825C51" w:rsidP="00F53275">
      <w:pPr>
        <w:pStyle w:val="Heading1"/>
        <w:ind w:firstLine="0"/>
      </w:pPr>
      <w:r>
        <w:t>Procedure</w:t>
      </w:r>
    </w:p>
    <w:p w:rsidR="005A61DA" w:rsidRPr="00564C4F" w:rsidRDefault="004A29C4" w:rsidP="00111F28">
      <w:pPr>
        <w:pStyle w:val="ListParagraph"/>
        <w:numPr>
          <w:ilvl w:val="0"/>
          <w:numId w:val="1"/>
        </w:numPr>
        <w:rPr>
          <w:lang w:val="en-GB"/>
        </w:rPr>
      </w:pPr>
      <w:r>
        <w:t xml:space="preserve">Fabrication of </w:t>
      </w:r>
      <w:r w:rsidR="007D4D79">
        <w:t xml:space="preserve">gas injection test section </w:t>
      </w:r>
      <w:r w:rsidR="008F6E1A">
        <w:t xml:space="preserve">(see </w:t>
      </w:r>
      <w:r w:rsidR="00953A71">
        <w:t>schematic</w:t>
      </w:r>
      <w:r w:rsidR="008F6E1A">
        <w:t xml:space="preserve"> and photograph, Fig. </w:t>
      </w:r>
      <w:r w:rsidR="00A319B8">
        <w:t>2</w:t>
      </w:r>
      <w:r w:rsidR="008F6E1A">
        <w:t>)</w:t>
      </w:r>
    </w:p>
    <w:p w:rsidR="00564C4F" w:rsidRPr="00B8049E" w:rsidRDefault="00564C4F" w:rsidP="00564C4F">
      <w:pPr>
        <w:pStyle w:val="ListParagraph"/>
        <w:ind w:firstLine="0"/>
        <w:rPr>
          <w:lang w:val="en-GB"/>
        </w:rPr>
      </w:pPr>
    </w:p>
    <w:p w:rsidR="006E4CF9" w:rsidRPr="0063574F" w:rsidRDefault="0063574F" w:rsidP="007D4D79">
      <w:pPr>
        <w:pStyle w:val="ListParagraph"/>
        <w:numPr>
          <w:ilvl w:val="1"/>
          <w:numId w:val="1"/>
        </w:numPr>
      </w:pPr>
      <w:r>
        <w:rPr>
          <w:lang w:val="en-GB"/>
        </w:rPr>
        <w:t xml:space="preserve">Drill a hole in the bottom of a tall, flat walled plastic container. Install a through-wall bulkhead fitting through this hole. Install a reducing fitting to a ~3.2 mm tube compression connection in the </w:t>
      </w:r>
      <w:proofErr w:type="gramStart"/>
      <w:r>
        <w:rPr>
          <w:lang w:val="en-GB"/>
        </w:rPr>
        <w:t>bulkhead fitting</w:t>
      </w:r>
      <w:proofErr w:type="gramEnd"/>
      <w:r>
        <w:rPr>
          <w:lang w:val="en-GB"/>
        </w:rPr>
        <w:t xml:space="preserve"> outlet. This will be the bubble/droplet injection port.</w:t>
      </w:r>
    </w:p>
    <w:p w:rsidR="0063574F" w:rsidRPr="0063574F" w:rsidRDefault="0063574F" w:rsidP="0063574F">
      <w:pPr>
        <w:pStyle w:val="ListParagraph"/>
        <w:ind w:left="1440" w:firstLine="0"/>
      </w:pPr>
    </w:p>
    <w:p w:rsidR="0063574F" w:rsidRPr="0063574F" w:rsidRDefault="0063574F" w:rsidP="007D4D79">
      <w:pPr>
        <w:pStyle w:val="ListParagraph"/>
        <w:numPr>
          <w:ilvl w:val="1"/>
          <w:numId w:val="1"/>
        </w:numPr>
      </w:pPr>
      <w:r>
        <w:rPr>
          <w:lang w:val="en-GB"/>
        </w:rPr>
        <w:t>Insert a short length (~1 cm) of 3.2 mm diameter soft rubber cord in the compression connection, and tighten the fitting nut. Using a sewing pin, puncture a thin hole through the rubber cord. This will be the valve for injecting bubbles/droplets into the fluid container.</w:t>
      </w:r>
    </w:p>
    <w:p w:rsidR="0063574F" w:rsidRDefault="0063574F" w:rsidP="0063574F">
      <w:pPr>
        <w:pStyle w:val="ListParagraph"/>
      </w:pPr>
    </w:p>
    <w:p w:rsidR="0063574F" w:rsidRDefault="0063574F" w:rsidP="007D4D79">
      <w:pPr>
        <w:pStyle w:val="ListParagraph"/>
        <w:numPr>
          <w:ilvl w:val="1"/>
          <w:numId w:val="1"/>
        </w:numPr>
      </w:pPr>
      <w:r>
        <w:t>Fill</w:t>
      </w:r>
      <w:r w:rsidR="006A1ACF">
        <w:t xml:space="preserve"> the container with glycerin to a level of ~25 cm. Pour the glycerin slowly as a film down the container sidewall to help reduce bubble entrainment in the container. Wait for ~</w:t>
      </w:r>
      <w:r w:rsidR="00EA4B92">
        <w:t>2 hours</w:t>
      </w:r>
      <w:r w:rsidR="006A1ACF">
        <w:t xml:space="preserve"> to allow larger bubbles to rise out of the container.</w:t>
      </w:r>
    </w:p>
    <w:p w:rsidR="006A1ACF" w:rsidRDefault="006A1ACF" w:rsidP="006A1ACF">
      <w:pPr>
        <w:pStyle w:val="ListParagraph"/>
      </w:pPr>
    </w:p>
    <w:p w:rsidR="006A1ACF" w:rsidRDefault="006A1ACF" w:rsidP="007D4D79">
      <w:pPr>
        <w:pStyle w:val="ListParagraph"/>
        <w:numPr>
          <w:ilvl w:val="1"/>
          <w:numId w:val="1"/>
        </w:numPr>
      </w:pPr>
      <w:r>
        <w:t xml:space="preserve">Mount a video camera on a tripod facing the container, with the upper portion of the liquid in view. Mount a bright light on the other side of the container, facing the camera (backlighting). Insert a diffuser sheet between the light and container to </w:t>
      </w:r>
      <w:r w:rsidR="00EA4B92">
        <w:t>ensure</w:t>
      </w:r>
      <w:r>
        <w:t xml:space="preserve"> even illumination.</w:t>
      </w:r>
    </w:p>
    <w:p w:rsidR="006E4CF9" w:rsidRPr="005A61DA" w:rsidRDefault="006E4CF9" w:rsidP="006E4CF9">
      <w:pPr>
        <w:pStyle w:val="ListParagraph"/>
        <w:ind w:left="1440" w:firstLine="0"/>
      </w:pPr>
    </w:p>
    <w:p w:rsidR="005A61DA" w:rsidRPr="005A61DA" w:rsidRDefault="007D4D79" w:rsidP="00111F28">
      <w:pPr>
        <w:pStyle w:val="ListParagraph"/>
        <w:numPr>
          <w:ilvl w:val="0"/>
          <w:numId w:val="1"/>
        </w:numPr>
        <w:rPr>
          <w:lang w:val="en-GB"/>
        </w:rPr>
      </w:pPr>
      <w:r>
        <w:t>Performing experiments</w:t>
      </w:r>
    </w:p>
    <w:p w:rsidR="005A61DA" w:rsidRPr="005A61DA" w:rsidRDefault="005A61DA" w:rsidP="00111F28">
      <w:pPr>
        <w:pStyle w:val="ListParagraph"/>
        <w:rPr>
          <w:lang w:val="en-GB"/>
        </w:rPr>
      </w:pPr>
    </w:p>
    <w:p w:rsidR="00051726" w:rsidRDefault="00051726" w:rsidP="00BB4614">
      <w:pPr>
        <w:pStyle w:val="ListParagraph"/>
        <w:numPr>
          <w:ilvl w:val="1"/>
          <w:numId w:val="1"/>
        </w:numPr>
      </w:pPr>
      <w:r>
        <w:t xml:space="preserve">Insert a ruler or flat object of known size into the glycerin container, above the injection port, facing the camera. Record a brief video of the object. This will serve a scale to </w:t>
      </w:r>
      <w:proofErr w:type="spellStart"/>
      <w:r>
        <w:t>to</w:t>
      </w:r>
      <w:proofErr w:type="spellEnd"/>
      <w:r>
        <w:t xml:space="preserve"> map from bubble size in </w:t>
      </w:r>
      <w:proofErr w:type="gramStart"/>
      <w:r>
        <w:t>px</w:t>
      </w:r>
      <w:proofErr w:type="gramEnd"/>
      <w:r>
        <w:t xml:space="preserve"> and rise velocity in px s</w:t>
      </w:r>
      <w:r w:rsidRPr="00051726">
        <w:rPr>
          <w:vertAlign w:val="superscript"/>
        </w:rPr>
        <w:t>-1</w:t>
      </w:r>
      <w:r>
        <w:t xml:space="preserve"> to m and m s</w:t>
      </w:r>
      <w:r w:rsidRPr="00051726">
        <w:rPr>
          <w:vertAlign w:val="superscript"/>
        </w:rPr>
        <w:t>-1</w:t>
      </w:r>
      <w:r>
        <w:t>, respectively.</w:t>
      </w:r>
    </w:p>
    <w:p w:rsidR="00051726" w:rsidRDefault="00051726" w:rsidP="00051726">
      <w:pPr>
        <w:pStyle w:val="ListParagraph"/>
        <w:ind w:left="1440" w:firstLine="0"/>
      </w:pPr>
    </w:p>
    <w:p w:rsidR="000B1EEF" w:rsidRDefault="00051726" w:rsidP="00BB4614">
      <w:pPr>
        <w:pStyle w:val="ListParagraph"/>
        <w:numPr>
          <w:ilvl w:val="1"/>
          <w:numId w:val="1"/>
        </w:numPr>
      </w:pPr>
      <w:r>
        <w:t>Using a syringe with a thin needle (</w:t>
      </w:r>
      <w:r w:rsidRPr="00051726">
        <w:rPr>
          <w:i/>
        </w:rPr>
        <w:t>e.g.</w:t>
      </w:r>
      <w:r>
        <w:t>, 20 gauge). Inject gas bubbles of varying sizes through the rubber valve into the liquid. Use the camera to record videos of the bubbles rising through the liquid.</w:t>
      </w:r>
    </w:p>
    <w:p w:rsidR="00051726" w:rsidRDefault="00051726" w:rsidP="00051726">
      <w:pPr>
        <w:pStyle w:val="ListParagraph"/>
        <w:ind w:left="1440" w:firstLine="0"/>
      </w:pPr>
    </w:p>
    <w:p w:rsidR="00400D19" w:rsidRPr="00367A00" w:rsidRDefault="009C2318" w:rsidP="00BB4614">
      <w:pPr>
        <w:pStyle w:val="ListParagraph"/>
        <w:numPr>
          <w:ilvl w:val="1"/>
          <w:numId w:val="1"/>
        </w:numPr>
      </w:pPr>
      <w:r>
        <w:t>Mix oil-based food coloring with soybean vegetable oil (or other low-viscosity vegetable oil). Using the syringe, inject colored oil droplets of varying sizes into the glycerin container. Record videos of the droplet</w:t>
      </w:r>
      <w:r w:rsidR="00EA4B92">
        <w:t>s</w:t>
      </w:r>
      <w:r>
        <w:t xml:space="preserve"> rising.</w:t>
      </w:r>
    </w:p>
    <w:p w:rsidR="00BB4614" w:rsidRDefault="00BB4614" w:rsidP="002E716F">
      <w:pPr>
        <w:pStyle w:val="ListParagraph"/>
        <w:ind w:left="1440" w:firstLine="0"/>
      </w:pPr>
    </w:p>
    <w:p w:rsidR="002E716F" w:rsidRPr="005A61DA" w:rsidRDefault="002E716F" w:rsidP="002E716F">
      <w:pPr>
        <w:pStyle w:val="ListParagraph"/>
        <w:numPr>
          <w:ilvl w:val="0"/>
          <w:numId w:val="1"/>
        </w:numPr>
        <w:rPr>
          <w:lang w:val="en-GB"/>
        </w:rPr>
      </w:pPr>
      <w:r>
        <w:t>Analysis</w:t>
      </w:r>
    </w:p>
    <w:p w:rsidR="002E716F" w:rsidRPr="005A61DA" w:rsidRDefault="002E716F" w:rsidP="002E716F">
      <w:pPr>
        <w:pStyle w:val="ListParagraph"/>
        <w:rPr>
          <w:lang w:val="en-GB"/>
        </w:rPr>
      </w:pPr>
    </w:p>
    <w:p w:rsidR="007B7211" w:rsidRPr="000642C1" w:rsidRDefault="009C2318" w:rsidP="007D4D79">
      <w:pPr>
        <w:pStyle w:val="ListParagraph"/>
        <w:numPr>
          <w:ilvl w:val="1"/>
          <w:numId w:val="1"/>
        </w:numPr>
      </w:pPr>
      <w:r>
        <w:t xml:space="preserve">Using software such as VLC media player, export image snapshots from the video of the ruler (Step 2.1). In an image editing software measure the pixel distance across a known length of the device. </w:t>
      </w:r>
      <w:r w:rsidR="000642C1">
        <w:t xml:space="preserve">The length scaling factor can then be determined </w:t>
      </w:r>
      <w:proofErr w:type="gramStart"/>
      <w:r w:rsidR="000642C1">
        <w:t xml:space="preserve">as </w:t>
      </w:r>
      <w:proofErr w:type="gramEnd"/>
      <m:oMath>
        <m:r>
          <w:rPr>
            <w:rFonts w:ascii="Cambria Math" w:hAnsi="Cambria Math"/>
          </w:rPr>
          <m:t>s=</m:t>
        </m:r>
        <m:f>
          <m:fPr>
            <m:type m:val="lin"/>
            <m:ctrlPr>
              <w:rPr>
                <w:rFonts w:ascii="Cambria Math" w:hAnsi="Cambria Math"/>
                <w:i/>
              </w:rPr>
            </m:ctrlPr>
          </m:fPr>
          <m:num>
            <m:sSub>
              <m:sSubPr>
                <m:ctrlPr>
                  <w:rPr>
                    <w:rFonts w:ascii="Cambria Math" w:hAnsi="Cambria Math"/>
                    <w:i/>
                  </w:rPr>
                </m:ctrlPr>
              </m:sSubPr>
              <m:e>
                <m:r>
                  <w:rPr>
                    <w:rFonts w:ascii="Cambria Math" w:hAnsi="Cambria Math"/>
                  </w:rPr>
                  <m:t>L</m:t>
                </m:r>
              </m:e>
              <m:sub>
                <m:r>
                  <m:rPr>
                    <m:sty m:val="p"/>
                  </m:rPr>
                  <w:rPr>
                    <w:rFonts w:ascii="Cambria Math" w:hAnsi="Cambria Math"/>
                  </w:rPr>
                  <m:t>m</m:t>
                </m:r>
              </m:sub>
            </m:sSub>
          </m:num>
          <m:den>
            <m:sSub>
              <m:sSubPr>
                <m:ctrlPr>
                  <w:rPr>
                    <w:rFonts w:ascii="Cambria Math" w:hAnsi="Cambria Math"/>
                    <w:i/>
                  </w:rPr>
                </m:ctrlPr>
              </m:sSubPr>
              <m:e>
                <m:r>
                  <w:rPr>
                    <w:rFonts w:ascii="Cambria Math" w:hAnsi="Cambria Math"/>
                  </w:rPr>
                  <m:t>L</m:t>
                </m:r>
              </m:e>
              <m:sub>
                <m:r>
                  <m:rPr>
                    <m:sty m:val="p"/>
                  </m:rPr>
                  <w:rPr>
                    <w:rFonts w:ascii="Cambria Math" w:hAnsi="Cambria Math"/>
                  </w:rPr>
                  <m:t>px</m:t>
                </m:r>
              </m:sub>
            </m:sSub>
          </m:den>
        </m:f>
      </m:oMath>
      <w:r w:rsidR="000642C1">
        <w:rPr>
          <w:rFonts w:eastAsiaTheme="minorEastAsia"/>
        </w:rPr>
        <w:t xml:space="preserve">, where </w:t>
      </w:r>
      <w:r w:rsidR="000642C1" w:rsidRPr="000642C1">
        <w:rPr>
          <w:rFonts w:eastAsiaTheme="minorEastAsia"/>
          <w:i/>
        </w:rPr>
        <w:t>L</w:t>
      </w:r>
      <w:r w:rsidR="000642C1" w:rsidRPr="000642C1">
        <w:rPr>
          <w:rFonts w:eastAsiaTheme="minorEastAsia"/>
          <w:vertAlign w:val="subscript"/>
        </w:rPr>
        <w:t>m</w:t>
      </w:r>
      <w:r w:rsidR="000642C1">
        <w:rPr>
          <w:rFonts w:eastAsiaTheme="minorEastAsia"/>
        </w:rPr>
        <w:t xml:space="preserve"> is the physical length of the object in meters and </w:t>
      </w:r>
      <w:proofErr w:type="spellStart"/>
      <w:r w:rsidR="000642C1" w:rsidRPr="000642C1">
        <w:rPr>
          <w:rFonts w:eastAsiaTheme="minorEastAsia"/>
          <w:i/>
        </w:rPr>
        <w:t>L</w:t>
      </w:r>
      <w:r w:rsidR="000642C1" w:rsidRPr="000642C1">
        <w:rPr>
          <w:rFonts w:eastAsiaTheme="minorEastAsia"/>
          <w:vertAlign w:val="subscript"/>
        </w:rPr>
        <w:t>px</w:t>
      </w:r>
      <w:proofErr w:type="spellEnd"/>
      <w:r w:rsidR="000642C1">
        <w:rPr>
          <w:rFonts w:eastAsiaTheme="minorEastAsia"/>
        </w:rPr>
        <w:t xml:space="preserve"> is the object length in pixels in the image.</w:t>
      </w:r>
    </w:p>
    <w:p w:rsidR="000642C1" w:rsidRPr="000642C1" w:rsidRDefault="000642C1" w:rsidP="000642C1">
      <w:pPr>
        <w:pStyle w:val="ListParagraph"/>
        <w:ind w:left="1440" w:firstLine="0"/>
      </w:pPr>
    </w:p>
    <w:p w:rsidR="000642C1" w:rsidRPr="000642C1" w:rsidRDefault="000642C1" w:rsidP="007D4D79">
      <w:pPr>
        <w:pStyle w:val="ListParagraph"/>
        <w:numPr>
          <w:ilvl w:val="1"/>
          <w:numId w:val="1"/>
        </w:numPr>
      </w:pPr>
      <w:r>
        <w:rPr>
          <w:rFonts w:eastAsiaTheme="minorEastAsia"/>
        </w:rPr>
        <w:t xml:space="preserve">For each bubble or </w:t>
      </w:r>
      <w:proofErr w:type="gramStart"/>
      <w:r>
        <w:rPr>
          <w:rFonts w:eastAsiaTheme="minorEastAsia"/>
        </w:rPr>
        <w:t>droplet rise velocity video</w:t>
      </w:r>
      <w:proofErr w:type="gramEnd"/>
      <w:r>
        <w:rPr>
          <w:rFonts w:eastAsiaTheme="minorEastAsia"/>
        </w:rPr>
        <w:t xml:space="preserve">, extract image snapshots from when the bubbles/droplets enter and exit the camera view window. Measure the bubble/droplet </w:t>
      </w:r>
      <w:r w:rsidR="00EA4B92">
        <w:rPr>
          <w:rFonts w:eastAsiaTheme="minorEastAsia"/>
        </w:rPr>
        <w:t xml:space="preserve">(horizontal) </w:t>
      </w:r>
      <w:r>
        <w:rPr>
          <w:rFonts w:eastAsiaTheme="minorEastAsia"/>
        </w:rPr>
        <w:t>diameters in an image editing software (</w:t>
      </w:r>
      <w:proofErr w:type="spellStart"/>
      <w:r w:rsidRPr="000642C1">
        <w:rPr>
          <w:rFonts w:eastAsiaTheme="minorEastAsia"/>
          <w:i/>
        </w:rPr>
        <w:t>D</w:t>
      </w:r>
      <w:r w:rsidRPr="000642C1">
        <w:rPr>
          <w:rFonts w:eastAsiaTheme="minorEastAsia"/>
          <w:vertAlign w:val="subscript"/>
        </w:rPr>
        <w:t>px</w:t>
      </w:r>
      <w:proofErr w:type="spellEnd"/>
      <w:r>
        <w:rPr>
          <w:rFonts w:eastAsiaTheme="minorEastAsia"/>
        </w:rPr>
        <w:t>). Measure the average rise velocities (</w:t>
      </w:r>
      <w:proofErr w:type="spellStart"/>
      <w:r w:rsidRPr="000642C1">
        <w:rPr>
          <w:rFonts w:eastAsiaTheme="minorEastAsia"/>
          <w:i/>
        </w:rPr>
        <w:t>U</w:t>
      </w:r>
      <w:r w:rsidRPr="000642C1">
        <w:rPr>
          <w:rFonts w:eastAsiaTheme="minorEastAsia"/>
          <w:vertAlign w:val="subscript"/>
        </w:rPr>
        <w:t>px</w:t>
      </w:r>
      <w:proofErr w:type="spellEnd"/>
      <w:r>
        <w:rPr>
          <w:rFonts w:eastAsiaTheme="minorEastAsia"/>
        </w:rPr>
        <w:t xml:space="preserve">) as the difference in bubble/droplet nose positions divided by elapsed video times between initial and final image snapshots. Convert these pixel values to physical values </w:t>
      </w:r>
      <w:proofErr w:type="gramStart"/>
      <w:r>
        <w:rPr>
          <w:rFonts w:eastAsiaTheme="minorEastAsia"/>
        </w:rPr>
        <w:t>as:</w:t>
      </w:r>
      <w:proofErr w:type="gramEnd"/>
      <w:r>
        <w:rPr>
          <w:rFonts w:eastAsiaTheme="minorEastAsia"/>
        </w:rPr>
        <w:t xml:space="preserve"> </w:t>
      </w:r>
      <w:r w:rsidRPr="000642C1">
        <w:rPr>
          <w:rFonts w:eastAsiaTheme="minorEastAsia"/>
          <w:i/>
        </w:rPr>
        <w:t>D</w:t>
      </w:r>
      <w:r>
        <w:rPr>
          <w:rFonts w:eastAsiaTheme="minorEastAsia"/>
        </w:rPr>
        <w:t xml:space="preserve"> = </w:t>
      </w:r>
      <w:proofErr w:type="spellStart"/>
      <w:r w:rsidRPr="000642C1">
        <w:rPr>
          <w:rFonts w:eastAsiaTheme="minorEastAsia"/>
          <w:i/>
        </w:rPr>
        <w:t>sD</w:t>
      </w:r>
      <w:r w:rsidRPr="000642C1">
        <w:rPr>
          <w:rFonts w:eastAsiaTheme="minorEastAsia"/>
          <w:vertAlign w:val="subscript"/>
        </w:rPr>
        <w:t>px</w:t>
      </w:r>
      <w:proofErr w:type="spellEnd"/>
      <w:r>
        <w:rPr>
          <w:rFonts w:eastAsiaTheme="minorEastAsia"/>
        </w:rPr>
        <w:t xml:space="preserve"> and </w:t>
      </w:r>
      <w:r w:rsidRPr="000642C1">
        <w:rPr>
          <w:rFonts w:eastAsiaTheme="minorEastAsia"/>
          <w:i/>
        </w:rPr>
        <w:t>U</w:t>
      </w:r>
      <w:r>
        <w:rPr>
          <w:rFonts w:eastAsiaTheme="minorEastAsia"/>
        </w:rPr>
        <w:t xml:space="preserve"> = </w:t>
      </w:r>
      <w:proofErr w:type="spellStart"/>
      <w:r w:rsidRPr="000642C1">
        <w:rPr>
          <w:rFonts w:eastAsiaTheme="minorEastAsia"/>
          <w:i/>
        </w:rPr>
        <w:t>sU</w:t>
      </w:r>
      <w:r w:rsidRPr="000642C1">
        <w:rPr>
          <w:rFonts w:eastAsiaTheme="minorEastAsia"/>
          <w:vertAlign w:val="subscript"/>
        </w:rPr>
        <w:t>px</w:t>
      </w:r>
      <w:proofErr w:type="spellEnd"/>
      <w:r>
        <w:rPr>
          <w:rFonts w:eastAsiaTheme="minorEastAsia"/>
        </w:rPr>
        <w:t>.</w:t>
      </w:r>
    </w:p>
    <w:p w:rsidR="000642C1" w:rsidRDefault="000642C1" w:rsidP="000642C1">
      <w:pPr>
        <w:pStyle w:val="ListParagraph"/>
      </w:pPr>
    </w:p>
    <w:p w:rsidR="000642C1" w:rsidRPr="00232E55" w:rsidRDefault="00232E55" w:rsidP="007D4D79">
      <w:pPr>
        <w:pStyle w:val="ListParagraph"/>
        <w:numPr>
          <w:ilvl w:val="1"/>
          <w:numId w:val="1"/>
        </w:numPr>
      </w:pPr>
      <w:r>
        <w:t>Evaluate bubble and droplet Reynolds numbers (</w:t>
      </w:r>
      <m:oMath>
        <m:r>
          <m:rPr>
            <m:sty m:val="p"/>
          </m:rPr>
          <w:rPr>
            <w:rFonts w:ascii="Cambria Math" w:hAnsi="Cambria Math"/>
          </w:rPr>
          <m:t>Re</m:t>
        </m:r>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ρ</m:t>
                </m:r>
              </m:e>
              <m:sub>
                <m:r>
                  <m:rPr>
                    <m:sty m:val="p"/>
                  </m:rPr>
                  <w:rPr>
                    <w:rFonts w:ascii="Cambria Math" w:hAnsi="Cambria Math"/>
                  </w:rPr>
                  <m:t>f</m:t>
                </m:r>
              </m:sub>
            </m:sSub>
            <m:r>
              <w:rPr>
                <w:rFonts w:ascii="Cambria Math" w:hAnsi="Cambria Math"/>
              </w:rPr>
              <m:t>UD</m:t>
            </m:r>
          </m:num>
          <m:den>
            <m:sSub>
              <m:sSubPr>
                <m:ctrlPr>
                  <w:rPr>
                    <w:rFonts w:ascii="Cambria Math" w:hAnsi="Cambria Math"/>
                    <w:i/>
                  </w:rPr>
                </m:ctrlPr>
              </m:sSubPr>
              <m:e>
                <m:r>
                  <w:rPr>
                    <w:rFonts w:ascii="Cambria Math" w:hAnsi="Cambria Math"/>
                  </w:rPr>
                  <m:t>μ</m:t>
                </m:r>
              </m:e>
              <m:sub>
                <m:r>
                  <m:rPr>
                    <m:sty m:val="p"/>
                  </m:rPr>
                  <w:rPr>
                    <w:rFonts w:ascii="Cambria Math" w:hAnsi="Cambria Math"/>
                  </w:rPr>
                  <m:t>f</m:t>
                </m:r>
              </m:sub>
            </m:sSub>
          </m:den>
        </m:f>
      </m:oMath>
      <w:r>
        <w:rPr>
          <w:rFonts w:eastAsiaTheme="minorEastAsia"/>
        </w:rPr>
        <w:t>) and drag coefficients (Eqn. 2). Plot these values and compare with theoretical results from Eqn. 3. Fluid properties at room temperature (22°C) are:</w:t>
      </w:r>
    </w:p>
    <w:p w:rsidR="00232E55" w:rsidRPr="00232E55" w:rsidRDefault="00232E55" w:rsidP="00232E55">
      <w:pPr>
        <w:pStyle w:val="ListParagraph"/>
        <w:numPr>
          <w:ilvl w:val="0"/>
          <w:numId w:val="3"/>
        </w:numPr>
      </w:pPr>
      <w:r>
        <w:t xml:space="preserve">Glycerin: </w:t>
      </w:r>
      <w:proofErr w:type="spellStart"/>
      <w:r w:rsidRPr="00232E55">
        <w:rPr>
          <w:i/>
        </w:rPr>
        <w:t>ρ</w:t>
      </w:r>
      <w:r w:rsidRPr="00232E55">
        <w:rPr>
          <w:vertAlign w:val="subscript"/>
        </w:rPr>
        <w:t>f</w:t>
      </w:r>
      <w:proofErr w:type="spellEnd"/>
      <w:r>
        <w:t xml:space="preserve"> = 1</w:t>
      </w:r>
      <w:r w:rsidR="007829E6">
        <w:t>30</w:t>
      </w:r>
      <w:r>
        <w:t>0 kg m</w:t>
      </w:r>
      <w:r w:rsidRPr="00232E55">
        <w:rPr>
          <w:vertAlign w:val="superscript"/>
        </w:rPr>
        <w:t>-3</w:t>
      </w:r>
      <w:r>
        <w:t xml:space="preserve">, </w:t>
      </w:r>
      <w:proofErr w:type="spellStart"/>
      <w:r w:rsidRPr="00232E55">
        <w:rPr>
          <w:i/>
        </w:rPr>
        <w:t>μ</w:t>
      </w:r>
      <w:r w:rsidRPr="00232E55">
        <w:rPr>
          <w:vertAlign w:val="subscript"/>
        </w:rPr>
        <w:t>f</w:t>
      </w:r>
      <w:proofErr w:type="spellEnd"/>
      <w:r>
        <w:t xml:space="preserve"> = 3.7 kg m</w:t>
      </w:r>
      <w:r w:rsidRPr="00232E55">
        <w:rPr>
          <w:vertAlign w:val="superscript"/>
        </w:rPr>
        <w:t>-1</w:t>
      </w:r>
      <w:r>
        <w:t xml:space="preserve"> s</w:t>
      </w:r>
      <w:r w:rsidRPr="00232E55">
        <w:rPr>
          <w:vertAlign w:val="superscript"/>
        </w:rPr>
        <w:t>-1</w:t>
      </w:r>
    </w:p>
    <w:p w:rsidR="00232E55" w:rsidRDefault="00232E55" w:rsidP="00232E55">
      <w:pPr>
        <w:pStyle w:val="ListParagraph"/>
        <w:numPr>
          <w:ilvl w:val="0"/>
          <w:numId w:val="3"/>
        </w:numPr>
      </w:pPr>
      <w:r>
        <w:t xml:space="preserve">Air: </w:t>
      </w:r>
      <w:proofErr w:type="spellStart"/>
      <w:r w:rsidRPr="00232E55">
        <w:rPr>
          <w:i/>
        </w:rPr>
        <w:t>ρ</w:t>
      </w:r>
      <w:r>
        <w:rPr>
          <w:vertAlign w:val="subscript"/>
        </w:rPr>
        <w:t>b</w:t>
      </w:r>
      <w:proofErr w:type="spellEnd"/>
      <w:r>
        <w:t xml:space="preserve"> = 1.19 kg m</w:t>
      </w:r>
      <w:r w:rsidRPr="00232E55">
        <w:rPr>
          <w:vertAlign w:val="superscript"/>
        </w:rPr>
        <w:t>-3</w:t>
      </w:r>
    </w:p>
    <w:p w:rsidR="00232E55" w:rsidRDefault="00232E55" w:rsidP="00232E55">
      <w:pPr>
        <w:pStyle w:val="ListParagraph"/>
        <w:numPr>
          <w:ilvl w:val="0"/>
          <w:numId w:val="3"/>
        </w:numPr>
      </w:pPr>
      <w:r>
        <w:t xml:space="preserve">Soybean oil: </w:t>
      </w:r>
      <w:proofErr w:type="spellStart"/>
      <w:r w:rsidRPr="00232E55">
        <w:rPr>
          <w:i/>
        </w:rPr>
        <w:t>ρ</w:t>
      </w:r>
      <w:r>
        <w:rPr>
          <w:vertAlign w:val="subscript"/>
        </w:rPr>
        <w:t>b</w:t>
      </w:r>
      <w:proofErr w:type="spellEnd"/>
      <w:r>
        <w:t xml:space="preserve"> = 920 kg m</w:t>
      </w:r>
      <w:r w:rsidRPr="00232E55">
        <w:rPr>
          <w:vertAlign w:val="superscript"/>
        </w:rPr>
        <w:t>-3</w:t>
      </w:r>
    </w:p>
    <w:p w:rsidR="007B7211" w:rsidRPr="007B7211" w:rsidRDefault="007B7211" w:rsidP="00232E55">
      <w:pPr>
        <w:ind w:firstLine="0"/>
      </w:pPr>
    </w:p>
    <w:p w:rsidR="007B7211" w:rsidRPr="007B7211" w:rsidRDefault="005A61DA" w:rsidP="007B7211">
      <w:pPr>
        <w:pStyle w:val="Heading1"/>
        <w:ind w:firstLine="0"/>
      </w:pPr>
      <w:r w:rsidRPr="005A61DA">
        <w:t>Representative Results</w:t>
      </w:r>
    </w:p>
    <w:p w:rsidR="007829E6" w:rsidRDefault="007829E6" w:rsidP="007829E6">
      <w:r>
        <w:t xml:space="preserve">A series of rising air bubbles and oil droplets of varying diameters are presented in Fig. 3. The small bubbles and droplets rise at lower velocities due to relatively stronger drag forces. At these low velocity and length scales, strong surface tension forces result in nearly spherical bubbles and droplets. The largest bubbles approach Re ~ </w:t>
      </w:r>
      <w:proofErr w:type="gramStart"/>
      <w:r>
        <w:t>2</w:t>
      </w:r>
      <w:proofErr w:type="gramEnd"/>
      <w:r>
        <w:t>, resulting in somewhat flattened tails in the wake region. The largest oil droplets only approach Re ~ 0.2 due to their greater weights. The large droplets form slightly teardrop shapes</w:t>
      </w:r>
      <w:r w:rsidR="0001045E">
        <w:t>, likely</w:t>
      </w:r>
      <w:r>
        <w:t xml:space="preserve"> due to the </w:t>
      </w:r>
      <w:r w:rsidR="0001045E">
        <w:t>high</w:t>
      </w:r>
      <w:r>
        <w:t xml:space="preserve"> inertia </w:t>
      </w:r>
      <w:r w:rsidR="0001045E">
        <w:t xml:space="preserve">(density) </w:t>
      </w:r>
      <w:r>
        <w:t xml:space="preserve">of the oil circulating inside the droplets. </w:t>
      </w:r>
      <w:r w:rsidR="00287501">
        <w:t xml:space="preserve">In contrast, the </w:t>
      </w:r>
      <w:proofErr w:type="gramStart"/>
      <w:r w:rsidR="00287501">
        <w:t>low density</w:t>
      </w:r>
      <w:proofErr w:type="gramEnd"/>
      <w:r>
        <w:t xml:space="preserve"> air in the gas bubbles has negligible inertia</w:t>
      </w:r>
      <w:r w:rsidR="0001045E">
        <w:t>.</w:t>
      </w:r>
    </w:p>
    <w:p w:rsidR="009278AF" w:rsidRDefault="0001045E" w:rsidP="009278AF">
      <w:r>
        <w:t xml:space="preserve">Measured drag coefficients (Eqn. 2) are compared with theoretical values for air bubbles and oil droplets (Eqn. 3) in Fig. 4. The most significant sources of uncertainty in this </w:t>
      </w:r>
      <w:r w:rsidR="00287501">
        <w:t>study stem from</w:t>
      </w:r>
      <w:r>
        <w:t xml:space="preserve"> the glycerin viscosity</w:t>
      </w:r>
      <w:r w:rsidR="00287501">
        <w:t xml:space="preserve"> value</w:t>
      </w:r>
      <w:r>
        <w:t>, which varies sharply with temperature, and the diameters of the smallest bubbles/droplets. Here, uncertainty propagation is performed assuming ± 0.2 kg m</w:t>
      </w:r>
      <w:r w:rsidRPr="0001045E">
        <w:rPr>
          <w:vertAlign w:val="superscript"/>
        </w:rPr>
        <w:t>-1</w:t>
      </w:r>
      <w:r>
        <w:t xml:space="preserve"> s</w:t>
      </w:r>
      <w:r w:rsidRPr="0001045E">
        <w:rPr>
          <w:vertAlign w:val="superscript"/>
        </w:rPr>
        <w:t>-1</w:t>
      </w:r>
      <w:r>
        <w:t xml:space="preserve"> for glycerin viscosity (corresponds to ~ ±1°C) and ±1.5 mm for bubble diameter (~3 </w:t>
      </w:r>
      <w:proofErr w:type="gramStart"/>
      <w:r>
        <w:t>px</w:t>
      </w:r>
      <w:proofErr w:type="gramEnd"/>
      <w:r>
        <w:t xml:space="preserve">). Overall, qualitatively close agreement is observed with theory in Fig. 4, with most measured </w:t>
      </w:r>
      <w:r w:rsidRPr="0001045E">
        <w:rPr>
          <w:i/>
        </w:rPr>
        <w:t>C</w:t>
      </w:r>
      <w:r w:rsidRPr="0001045E">
        <w:rPr>
          <w:vertAlign w:val="subscript"/>
        </w:rPr>
        <w:t>D</w:t>
      </w:r>
      <w:r>
        <w:t xml:space="preserve"> values matching theoretical results within experimental uncertainty.</w:t>
      </w:r>
    </w:p>
    <w:p w:rsidR="005A61DA" w:rsidRPr="005A61DA" w:rsidRDefault="00825C51" w:rsidP="00F53275">
      <w:pPr>
        <w:pStyle w:val="Heading1"/>
        <w:ind w:firstLine="0"/>
      </w:pPr>
      <w:r>
        <w:lastRenderedPageBreak/>
        <w:t>Summary</w:t>
      </w:r>
    </w:p>
    <w:p w:rsidR="00587520" w:rsidRDefault="00587520" w:rsidP="007B7211">
      <w:r>
        <w:t>This experiment demonstrated the measurement of drag coefficient for rising bubbles and droplets in a fluid medium. Drag coefficients were determined by account</w:t>
      </w:r>
      <w:r w:rsidR="00287501">
        <w:t>ing</w:t>
      </w:r>
      <w:r>
        <w:t xml:space="preserve"> for weight, buoyancy, and drag forces. Results were compared with a theoretical model for bubble/droplet </w:t>
      </w:r>
      <w:r w:rsidRPr="00587520">
        <w:rPr>
          <w:i/>
        </w:rPr>
        <w:t>C</w:t>
      </w:r>
      <w:r w:rsidRPr="00587520">
        <w:rPr>
          <w:vertAlign w:val="subscript"/>
        </w:rPr>
        <w:t>D</w:t>
      </w:r>
      <w:r>
        <w:t xml:space="preserve"> at low Reynolds numbers.</w:t>
      </w:r>
    </w:p>
    <w:p w:rsidR="007D4D79" w:rsidRDefault="00587520" w:rsidP="0001045E">
      <w:r>
        <w:t>When analyzing the flows affecting small or deformable objects, such as bubbles and droplets, it is often necessary to indirectly measure lift and drag forces based on object velocity. When analyzing larger objects</w:t>
      </w:r>
      <w:r w:rsidR="0009055E">
        <w:t>, such as airplane wings or car bodies, scale models can be mounted on fixed force gages in wind tunnels, and subjected to external flows. In such cases, drag (and lift) forces can be measured directly (Eqn. 1). Engineers apply such information to optimize the shapes of vehicles for reduced drag and ensure that engines provide sufficient power to overcome fluid resistance.</w:t>
      </w:r>
    </w:p>
    <w:p w:rsidR="007B7211" w:rsidRDefault="007B7211" w:rsidP="007B7211"/>
    <w:p w:rsidR="00111F28" w:rsidRPr="005A61DA" w:rsidRDefault="00111F28" w:rsidP="00F53275">
      <w:pPr>
        <w:pStyle w:val="Heading1"/>
        <w:ind w:firstLine="0"/>
      </w:pPr>
      <w:r>
        <w:t>Applications</w:t>
      </w:r>
    </w:p>
    <w:p w:rsidR="008F3B54" w:rsidRDefault="008F3B54" w:rsidP="0095681C">
      <w:r>
        <w:t>This experiment focused on the motion of bubbles and droplets in a liquid medium. These results could be directly applicable to the design of industrial heat and mass exchangers, such as steam generators in power plants. In steam generators, vapor bubbles must be removed from the heated area by buoyancy or fluid flow to allow fresh liquid to reach the heating elements. In chemical reactors, gas bubbles are often injected to improve mixing</w:t>
      </w:r>
      <w:r w:rsidR="00CA36E8">
        <w:t>.</w:t>
      </w:r>
      <w:r>
        <w:t xml:space="preserve"> </w:t>
      </w:r>
      <w:r w:rsidR="00287501">
        <w:t>C</w:t>
      </w:r>
      <w:r>
        <w:t>haracterization of bubble motion th</w:t>
      </w:r>
      <w:r w:rsidR="00CA36E8">
        <w:t xml:space="preserve">rough liquid is </w:t>
      </w:r>
      <w:r w:rsidR="00287501">
        <w:t xml:space="preserve">thus </w:t>
      </w:r>
      <w:r w:rsidR="00CA36E8">
        <w:t>needed to inform system design.</w:t>
      </w:r>
    </w:p>
    <w:p w:rsidR="00870650" w:rsidRDefault="00214113" w:rsidP="0095681C">
      <w:r>
        <w:t>Vehicles such as cars, planes, and boats experience significant forces from drag. For example, at highway speeds, a typical sedan may require ~40 horsepower just to overcome aerodynamic resistance. Careful design of vehicle shape and intake/exhaust pathways can control airflow around a vehicle and reduce drag. In boats, submarines, and hot air balloons/blimps the buoyancy force balances the vehicle weight and must be considered carefully. By applying the principles introduced here</w:t>
      </w:r>
      <w:r w:rsidR="00CA36E8">
        <w:t>, we</w:t>
      </w:r>
      <w:r>
        <w:t xml:space="preserve"> </w:t>
      </w:r>
      <w:r w:rsidR="00CA36E8">
        <w:t>can predict</w:t>
      </w:r>
      <w:r>
        <w:t xml:space="preserve"> weight,</w:t>
      </w:r>
      <w:r w:rsidR="00CA36E8">
        <w:t xml:space="preserve"> buoyancy, and drag forces in engineering systems.</w:t>
      </w:r>
    </w:p>
    <w:p w:rsidR="004668E1" w:rsidRDefault="004668E1" w:rsidP="0095681C"/>
    <w:p w:rsidR="0001045E" w:rsidRDefault="0001045E" w:rsidP="0095681C"/>
    <w:p w:rsidR="0001045E" w:rsidRDefault="0001045E" w:rsidP="0095681C"/>
    <w:p w:rsidR="0001045E" w:rsidRDefault="0001045E" w:rsidP="0095681C"/>
    <w:p w:rsidR="0001045E" w:rsidRDefault="0001045E" w:rsidP="0095681C"/>
    <w:p w:rsidR="00EA4B92" w:rsidRDefault="00EA4B92" w:rsidP="0095681C"/>
    <w:p w:rsidR="0001045E" w:rsidRDefault="0001045E" w:rsidP="0095681C"/>
    <w:p w:rsidR="0001045E" w:rsidRDefault="0001045E" w:rsidP="0095681C"/>
    <w:p w:rsidR="0001045E" w:rsidRDefault="0001045E" w:rsidP="0095681C"/>
    <w:p w:rsidR="005A61DA" w:rsidRPr="00F53275" w:rsidRDefault="00825C51" w:rsidP="00F53275">
      <w:pPr>
        <w:pStyle w:val="Heading1"/>
        <w:ind w:firstLine="0"/>
      </w:pPr>
      <w:r>
        <w:lastRenderedPageBreak/>
        <w:t>Legend</w:t>
      </w:r>
      <w:bookmarkStart w:id="0" w:name="_GoBack"/>
      <w:bookmarkEnd w:id="0"/>
    </w:p>
    <w:p w:rsidR="000F5722" w:rsidRDefault="005A61DA" w:rsidP="005272F5">
      <w:pPr>
        <w:ind w:firstLine="0"/>
      </w:pPr>
      <w:r w:rsidRPr="005A61DA">
        <w:t>Figure 1:</w:t>
      </w:r>
      <w:r w:rsidRPr="00154B75">
        <w:t xml:space="preserve"> </w:t>
      </w:r>
      <w:r w:rsidR="0001045E">
        <w:t>Force balance on rising gas bubble or oil droplet</w:t>
      </w:r>
    </w:p>
    <w:p w:rsidR="00A319B8" w:rsidRDefault="00A319B8" w:rsidP="00A319B8">
      <w:pPr>
        <w:ind w:firstLine="0"/>
      </w:pPr>
      <w:r w:rsidRPr="005A61DA">
        <w:t xml:space="preserve">Figure </w:t>
      </w:r>
      <w:r>
        <w:t>2</w:t>
      </w:r>
      <w:r w:rsidRPr="005A61DA">
        <w:t>:</w:t>
      </w:r>
      <w:r w:rsidRPr="00154B75">
        <w:t xml:space="preserve"> </w:t>
      </w:r>
      <w:r w:rsidR="0001045E">
        <w:t>(</w:t>
      </w:r>
      <w:r w:rsidR="0001045E" w:rsidRPr="0001045E">
        <w:rPr>
          <w:b/>
        </w:rPr>
        <w:t>a</w:t>
      </w:r>
      <w:r w:rsidR="0001045E">
        <w:t>) Schematic and (</w:t>
      </w:r>
      <w:r w:rsidR="0001045E" w:rsidRPr="0001045E">
        <w:rPr>
          <w:b/>
        </w:rPr>
        <w:t>b</w:t>
      </w:r>
      <w:r w:rsidR="0001045E">
        <w:t>) photograph of experimental facility.</w:t>
      </w:r>
    </w:p>
    <w:p w:rsidR="00587520" w:rsidRDefault="00587520" w:rsidP="00A319B8">
      <w:pPr>
        <w:ind w:firstLine="0"/>
      </w:pPr>
      <w:r>
        <w:t>Figure 3: Image</w:t>
      </w:r>
      <w:r w:rsidR="0001045E">
        <w:t xml:space="preserve"> series of rising gas bubbles and oil droplets of varying diameters</w:t>
      </w:r>
    </w:p>
    <w:p w:rsidR="0001045E" w:rsidRDefault="0001045E" w:rsidP="00A319B8">
      <w:pPr>
        <w:ind w:firstLine="0"/>
      </w:pPr>
      <w:r>
        <w:t>Figure 4:</w:t>
      </w:r>
      <w:r w:rsidR="00EA4B92">
        <w:t xml:space="preserve"> Measured drag coefficients and Reynolds number for rising bubbles and droplets compared with theoretical model (Eqn. 3).</w:t>
      </w:r>
    </w:p>
    <w:p w:rsidR="0001045E" w:rsidRDefault="0001045E" w:rsidP="00A319B8">
      <w:pPr>
        <w:ind w:firstLine="0"/>
      </w:pPr>
    </w:p>
    <w:p w:rsidR="000F5722" w:rsidRDefault="000F5722" w:rsidP="000F5722">
      <w:pPr>
        <w:ind w:firstLine="0"/>
      </w:pPr>
    </w:p>
    <w:p w:rsidR="005A61DA" w:rsidRPr="005A61DA" w:rsidRDefault="00111F28" w:rsidP="00F53275">
      <w:pPr>
        <w:pStyle w:val="Heading1"/>
        <w:ind w:firstLine="0"/>
      </w:pPr>
      <w:r>
        <w:t>Materials List</w:t>
      </w:r>
    </w:p>
    <w:tbl>
      <w:tblPr>
        <w:tblW w:w="10260" w:type="dxa"/>
        <w:jc w:val="center"/>
        <w:tblLayout w:type="fixed"/>
        <w:tblLook w:val="04A0" w:firstRow="1" w:lastRow="0" w:firstColumn="1" w:lastColumn="0" w:noHBand="0" w:noVBand="1"/>
      </w:tblPr>
      <w:tblGrid>
        <w:gridCol w:w="3150"/>
        <w:gridCol w:w="1530"/>
        <w:gridCol w:w="1800"/>
        <w:gridCol w:w="3780"/>
      </w:tblGrid>
      <w:tr w:rsidR="00111F28" w:rsidRPr="00AB0BBF" w:rsidTr="008B58B4">
        <w:trPr>
          <w:trHeight w:val="300"/>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Name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Company</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Catalog Number</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Comments</w:t>
            </w:r>
          </w:p>
        </w:tc>
      </w:tr>
      <w:tr w:rsidR="00111F28"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hideMark/>
          </w:tcPr>
          <w:p w:rsidR="00111F28" w:rsidRPr="00AB0BBF" w:rsidRDefault="00111F28" w:rsidP="00025FA2">
            <w:pPr>
              <w:spacing w:after="0"/>
              <w:ind w:firstLine="0"/>
              <w:rPr>
                <w:rFonts w:ascii="Cambria" w:eastAsia="Times New Roman" w:hAnsi="Cambria"/>
                <w:b/>
                <w:bCs/>
                <w:color w:val="3A3A3A"/>
                <w:sz w:val="20"/>
                <w:szCs w:val="20"/>
              </w:rPr>
            </w:pPr>
            <w:r w:rsidRPr="00AB0BBF">
              <w:rPr>
                <w:rFonts w:ascii="Cambria" w:eastAsia="Times New Roman" w:hAnsi="Cambria"/>
                <w:b/>
                <w:bCs/>
                <w:color w:val="3A3A3A"/>
                <w:sz w:val="20"/>
                <w:szCs w:val="20"/>
              </w:rPr>
              <w:t>Equipment</w:t>
            </w:r>
          </w:p>
        </w:tc>
        <w:tc>
          <w:tcPr>
            <w:tcW w:w="1530" w:type="dxa"/>
            <w:tcBorders>
              <w:top w:val="nil"/>
              <w:left w:val="nil"/>
              <w:bottom w:val="single" w:sz="4" w:space="0" w:color="auto"/>
              <w:right w:val="single" w:sz="4" w:space="0" w:color="auto"/>
            </w:tcBorders>
            <w:shd w:val="clear" w:color="auto" w:fill="auto"/>
            <w:noWrap/>
            <w:vAlign w:val="bottom"/>
            <w:hideMark/>
          </w:tcPr>
          <w:p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c>
          <w:tcPr>
            <w:tcW w:w="3780" w:type="dxa"/>
            <w:tcBorders>
              <w:top w:val="nil"/>
              <w:left w:val="nil"/>
              <w:bottom w:val="single" w:sz="4" w:space="0" w:color="auto"/>
              <w:right w:val="single" w:sz="4" w:space="0" w:color="auto"/>
            </w:tcBorders>
            <w:shd w:val="clear" w:color="auto" w:fill="auto"/>
            <w:vAlign w:val="bottom"/>
            <w:hideMark/>
          </w:tcPr>
          <w:p w:rsidR="00111F28" w:rsidRPr="00AB0BBF" w:rsidRDefault="00111F28" w:rsidP="00AD70B2">
            <w:pPr>
              <w:spacing w:after="0"/>
              <w:rPr>
                <w:rFonts w:ascii="Cambria" w:eastAsia="Times New Roman" w:hAnsi="Cambria"/>
                <w:b/>
                <w:bCs/>
                <w:color w:val="3A3A3A"/>
                <w:sz w:val="20"/>
                <w:szCs w:val="20"/>
              </w:rPr>
            </w:pPr>
            <w:r w:rsidRPr="00AB0BBF">
              <w:rPr>
                <w:rFonts w:ascii="Cambria" w:eastAsia="Times New Roman" w:hAnsi="Cambria"/>
                <w:b/>
                <w:bCs/>
                <w:color w:val="3A3A3A"/>
                <w:sz w:val="20"/>
                <w:szCs w:val="20"/>
              </w:rPr>
              <w:t> </w:t>
            </w:r>
          </w:p>
        </w:tc>
      </w:tr>
      <w:tr w:rsidR="008B58B4"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8B58B4" w:rsidRPr="008B58B4" w:rsidRDefault="00CA36E8"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Acrylic container</w:t>
            </w:r>
          </w:p>
        </w:tc>
        <w:tc>
          <w:tcPr>
            <w:tcW w:w="1530" w:type="dxa"/>
            <w:tcBorders>
              <w:top w:val="nil"/>
              <w:left w:val="nil"/>
              <w:bottom w:val="single" w:sz="4" w:space="0" w:color="auto"/>
              <w:right w:val="single" w:sz="4" w:space="0" w:color="auto"/>
            </w:tcBorders>
            <w:shd w:val="clear" w:color="auto" w:fill="auto"/>
            <w:noWrap/>
            <w:vAlign w:val="bottom"/>
          </w:tcPr>
          <w:p w:rsidR="008B58B4" w:rsidRDefault="00CA36E8"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Oxo</w:t>
            </w:r>
          </w:p>
        </w:tc>
        <w:tc>
          <w:tcPr>
            <w:tcW w:w="1800" w:type="dxa"/>
            <w:tcBorders>
              <w:top w:val="nil"/>
              <w:left w:val="nil"/>
              <w:bottom w:val="single" w:sz="4" w:space="0" w:color="auto"/>
              <w:right w:val="single" w:sz="4" w:space="0" w:color="auto"/>
            </w:tcBorders>
            <w:shd w:val="clear" w:color="auto" w:fill="auto"/>
            <w:noWrap/>
            <w:vAlign w:val="bottom"/>
          </w:tcPr>
          <w:p w:rsidR="008B58B4" w:rsidRPr="008B58B4" w:rsidRDefault="00CA36E8" w:rsidP="008B58B4">
            <w:pPr>
              <w:spacing w:after="0"/>
              <w:ind w:firstLine="0"/>
              <w:rPr>
                <w:rFonts w:ascii="Cambria" w:eastAsia="Times New Roman" w:hAnsi="Cambria"/>
                <w:bCs/>
                <w:color w:val="3A3A3A"/>
                <w:sz w:val="20"/>
                <w:szCs w:val="20"/>
              </w:rPr>
            </w:pPr>
            <w:r w:rsidRPr="00CA36E8">
              <w:rPr>
                <w:rFonts w:ascii="Cambria" w:eastAsia="Times New Roman" w:hAnsi="Cambria"/>
                <w:bCs/>
                <w:color w:val="3A3A3A"/>
                <w:sz w:val="20"/>
                <w:szCs w:val="20"/>
              </w:rPr>
              <w:t>1071393</w:t>
            </w:r>
          </w:p>
        </w:tc>
        <w:tc>
          <w:tcPr>
            <w:tcW w:w="3780" w:type="dxa"/>
            <w:tcBorders>
              <w:top w:val="nil"/>
              <w:left w:val="nil"/>
              <w:bottom w:val="single" w:sz="4" w:space="0" w:color="auto"/>
              <w:right w:val="single" w:sz="4" w:space="0" w:color="auto"/>
            </w:tcBorders>
            <w:shd w:val="clear" w:color="auto" w:fill="auto"/>
            <w:vAlign w:val="bottom"/>
          </w:tcPr>
          <w:p w:rsidR="008B58B4" w:rsidRPr="008B58B4" w:rsidRDefault="008B58B4" w:rsidP="008B58B4">
            <w:pPr>
              <w:spacing w:after="0"/>
              <w:ind w:firstLine="0"/>
              <w:rPr>
                <w:rFonts w:ascii="Cambria" w:eastAsia="Times New Roman" w:hAnsi="Cambria"/>
                <w:bCs/>
                <w:color w:val="3A3A3A"/>
                <w:sz w:val="20"/>
                <w:szCs w:val="20"/>
              </w:rPr>
            </w:pPr>
          </w:p>
        </w:tc>
      </w:tr>
      <w:tr w:rsidR="008B58B4"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CA36E8" w:rsidRPr="008B58B4" w:rsidRDefault="00CA36E8"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Bulkhead fitting</w:t>
            </w:r>
          </w:p>
        </w:tc>
        <w:tc>
          <w:tcPr>
            <w:tcW w:w="1530" w:type="dxa"/>
            <w:tcBorders>
              <w:top w:val="nil"/>
              <w:left w:val="nil"/>
              <w:bottom w:val="single" w:sz="4" w:space="0" w:color="auto"/>
              <w:right w:val="single" w:sz="4" w:space="0" w:color="auto"/>
            </w:tcBorders>
            <w:shd w:val="clear" w:color="auto" w:fill="auto"/>
            <w:noWrap/>
            <w:vAlign w:val="bottom"/>
          </w:tcPr>
          <w:p w:rsidR="008B58B4" w:rsidRDefault="00CA36E8" w:rsidP="008B58B4">
            <w:pPr>
              <w:spacing w:after="0"/>
              <w:ind w:firstLine="0"/>
              <w:rPr>
                <w:rFonts w:ascii="Cambria" w:eastAsia="Times New Roman" w:hAnsi="Cambria"/>
                <w:color w:val="3A3A3A"/>
                <w:sz w:val="20"/>
                <w:szCs w:val="20"/>
              </w:rPr>
            </w:pPr>
            <w:r>
              <w:rPr>
                <w:rFonts w:ascii="Cambria" w:eastAsia="Times New Roman" w:hAnsi="Cambria"/>
                <w:color w:val="3A3A3A"/>
                <w:sz w:val="20"/>
                <w:szCs w:val="20"/>
              </w:rPr>
              <w:t>McMaster</w:t>
            </w:r>
          </w:p>
        </w:tc>
        <w:tc>
          <w:tcPr>
            <w:tcW w:w="1800" w:type="dxa"/>
            <w:tcBorders>
              <w:top w:val="nil"/>
              <w:left w:val="nil"/>
              <w:bottom w:val="single" w:sz="4" w:space="0" w:color="auto"/>
              <w:right w:val="single" w:sz="4" w:space="0" w:color="auto"/>
            </w:tcBorders>
            <w:shd w:val="clear" w:color="auto" w:fill="auto"/>
            <w:noWrap/>
            <w:vAlign w:val="bottom"/>
          </w:tcPr>
          <w:p w:rsidR="008B58B4" w:rsidRPr="008B58B4" w:rsidRDefault="00CA36E8" w:rsidP="008B58B4">
            <w:pPr>
              <w:spacing w:after="0"/>
              <w:ind w:firstLine="0"/>
              <w:rPr>
                <w:rFonts w:ascii="Cambria" w:eastAsia="Times New Roman" w:hAnsi="Cambria"/>
                <w:bCs/>
                <w:color w:val="3A3A3A"/>
                <w:sz w:val="20"/>
                <w:szCs w:val="20"/>
              </w:rPr>
            </w:pPr>
            <w:r w:rsidRPr="00CA36E8">
              <w:rPr>
                <w:rFonts w:ascii="Cambria" w:eastAsia="Times New Roman" w:hAnsi="Cambria"/>
                <w:bCs/>
                <w:color w:val="3A3A3A"/>
                <w:sz w:val="20"/>
                <w:szCs w:val="20"/>
              </w:rPr>
              <w:t>36895K161</w:t>
            </w:r>
          </w:p>
        </w:tc>
        <w:tc>
          <w:tcPr>
            <w:tcW w:w="3780" w:type="dxa"/>
            <w:tcBorders>
              <w:top w:val="nil"/>
              <w:left w:val="nil"/>
              <w:bottom w:val="single" w:sz="4" w:space="0" w:color="auto"/>
              <w:right w:val="single" w:sz="4" w:space="0" w:color="auto"/>
            </w:tcBorders>
            <w:shd w:val="clear" w:color="auto" w:fill="auto"/>
            <w:vAlign w:val="bottom"/>
          </w:tcPr>
          <w:p w:rsidR="008B58B4" w:rsidRDefault="00CA36E8" w:rsidP="008B58B4">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For bubble/droplet injection port</w:t>
            </w:r>
          </w:p>
        </w:tc>
      </w:tr>
      <w:tr w:rsidR="00474897" w:rsidRPr="00AB0BBF" w:rsidTr="007B777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474897" w:rsidRPr="008B58B4" w:rsidRDefault="00CA36E8" w:rsidP="00474897">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Compression fitting adapter</w:t>
            </w:r>
          </w:p>
        </w:tc>
        <w:tc>
          <w:tcPr>
            <w:tcW w:w="1530" w:type="dxa"/>
            <w:tcBorders>
              <w:top w:val="nil"/>
              <w:left w:val="nil"/>
              <w:bottom w:val="single" w:sz="4" w:space="0" w:color="auto"/>
              <w:right w:val="single" w:sz="4" w:space="0" w:color="auto"/>
            </w:tcBorders>
            <w:shd w:val="clear" w:color="auto" w:fill="auto"/>
            <w:noWrap/>
            <w:vAlign w:val="bottom"/>
          </w:tcPr>
          <w:p w:rsidR="00474897" w:rsidRPr="00AB0BBF" w:rsidRDefault="00BE3652" w:rsidP="00474897">
            <w:pPr>
              <w:spacing w:after="0"/>
              <w:ind w:firstLine="0"/>
              <w:rPr>
                <w:rFonts w:ascii="Cambria" w:eastAsia="Times New Roman" w:hAnsi="Cambria"/>
                <w:color w:val="3A3A3A"/>
                <w:sz w:val="20"/>
                <w:szCs w:val="20"/>
              </w:rPr>
            </w:pPr>
            <w:r>
              <w:rPr>
                <w:rFonts w:ascii="Cambria" w:eastAsia="Times New Roman" w:hAnsi="Cambria"/>
                <w:color w:val="3A3A3A"/>
                <w:sz w:val="20"/>
                <w:szCs w:val="20"/>
              </w:rPr>
              <w:t>Swagelok</w:t>
            </w:r>
          </w:p>
        </w:tc>
        <w:tc>
          <w:tcPr>
            <w:tcW w:w="1800" w:type="dxa"/>
            <w:tcBorders>
              <w:top w:val="nil"/>
              <w:left w:val="nil"/>
              <w:bottom w:val="single" w:sz="4" w:space="0" w:color="auto"/>
              <w:right w:val="single" w:sz="4" w:space="0" w:color="auto"/>
            </w:tcBorders>
            <w:shd w:val="clear" w:color="auto" w:fill="auto"/>
            <w:noWrap/>
            <w:vAlign w:val="bottom"/>
          </w:tcPr>
          <w:p w:rsidR="00474897" w:rsidRPr="00AB0BBF" w:rsidRDefault="00BE3652" w:rsidP="00474897">
            <w:pPr>
              <w:spacing w:after="0"/>
              <w:ind w:firstLine="0"/>
              <w:rPr>
                <w:rFonts w:ascii="Cambria" w:eastAsia="Times New Roman" w:hAnsi="Cambria"/>
                <w:color w:val="3A3A3A"/>
                <w:sz w:val="20"/>
                <w:szCs w:val="20"/>
              </w:rPr>
            </w:pPr>
            <w:r>
              <w:rPr>
                <w:rFonts w:ascii="Cambria" w:eastAsia="Times New Roman" w:hAnsi="Cambria"/>
                <w:color w:val="3A3A3A"/>
                <w:sz w:val="20"/>
                <w:szCs w:val="20"/>
              </w:rPr>
              <w:t>B-200-1-8</w:t>
            </w:r>
          </w:p>
        </w:tc>
        <w:tc>
          <w:tcPr>
            <w:tcW w:w="3780" w:type="dxa"/>
            <w:tcBorders>
              <w:top w:val="nil"/>
              <w:left w:val="nil"/>
              <w:bottom w:val="single" w:sz="4" w:space="0" w:color="auto"/>
              <w:right w:val="single" w:sz="4" w:space="0" w:color="auto"/>
            </w:tcBorders>
            <w:shd w:val="clear" w:color="auto" w:fill="auto"/>
            <w:vAlign w:val="bottom"/>
          </w:tcPr>
          <w:p w:rsidR="00474897" w:rsidRPr="00AB0BBF" w:rsidRDefault="00CA36E8" w:rsidP="00474897">
            <w:pPr>
              <w:spacing w:after="0"/>
              <w:ind w:firstLine="0"/>
              <w:rPr>
                <w:rFonts w:ascii="Cambria" w:eastAsia="Times New Roman" w:hAnsi="Cambria"/>
                <w:color w:val="3A3A3A"/>
                <w:sz w:val="20"/>
                <w:szCs w:val="20"/>
              </w:rPr>
            </w:pPr>
            <w:r>
              <w:rPr>
                <w:rFonts w:ascii="Cambria" w:eastAsia="Times New Roman" w:hAnsi="Cambria"/>
                <w:bCs/>
                <w:color w:val="3A3A3A"/>
                <w:sz w:val="20"/>
                <w:szCs w:val="20"/>
              </w:rPr>
              <w:t>For bubble/droplet injection port</w:t>
            </w:r>
          </w:p>
        </w:tc>
      </w:tr>
      <w:tr w:rsidR="00CA36E8"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CA36E8" w:rsidRPr="008B58B4" w:rsidRDefault="00CA36E8" w:rsidP="00CA36E8">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Soft rubber cord (3.2 mm diameter)</w:t>
            </w:r>
          </w:p>
        </w:tc>
        <w:tc>
          <w:tcPr>
            <w:tcW w:w="1530" w:type="dxa"/>
            <w:tcBorders>
              <w:top w:val="nil"/>
              <w:left w:val="nil"/>
              <w:bottom w:val="single" w:sz="4" w:space="0" w:color="auto"/>
              <w:right w:val="single" w:sz="4" w:space="0" w:color="auto"/>
            </w:tcBorders>
            <w:shd w:val="clear" w:color="auto" w:fill="auto"/>
            <w:noWrap/>
            <w:vAlign w:val="bottom"/>
          </w:tcPr>
          <w:p w:rsidR="00CA36E8" w:rsidRPr="00AB0BBF" w:rsidRDefault="00BE3652" w:rsidP="00CA36E8">
            <w:pPr>
              <w:spacing w:after="0"/>
              <w:ind w:firstLine="0"/>
              <w:rPr>
                <w:rFonts w:ascii="Cambria" w:eastAsia="Times New Roman" w:hAnsi="Cambria"/>
                <w:color w:val="3A3A3A"/>
                <w:sz w:val="20"/>
                <w:szCs w:val="20"/>
              </w:rPr>
            </w:pPr>
            <w:r>
              <w:rPr>
                <w:rFonts w:ascii="Cambria" w:eastAsia="Times New Roman" w:hAnsi="Cambria"/>
                <w:color w:val="3A3A3A"/>
                <w:sz w:val="20"/>
                <w:szCs w:val="20"/>
              </w:rPr>
              <w:t>McMaster</w:t>
            </w:r>
          </w:p>
        </w:tc>
        <w:tc>
          <w:tcPr>
            <w:tcW w:w="1800" w:type="dxa"/>
            <w:tcBorders>
              <w:top w:val="nil"/>
              <w:left w:val="nil"/>
              <w:bottom w:val="single" w:sz="4" w:space="0" w:color="auto"/>
              <w:right w:val="single" w:sz="4" w:space="0" w:color="auto"/>
            </w:tcBorders>
            <w:shd w:val="clear" w:color="auto" w:fill="auto"/>
            <w:noWrap/>
            <w:vAlign w:val="bottom"/>
          </w:tcPr>
          <w:p w:rsidR="00CA36E8" w:rsidRPr="00AB0BBF" w:rsidRDefault="00BE3652" w:rsidP="00CA36E8">
            <w:pPr>
              <w:spacing w:after="0"/>
              <w:ind w:firstLine="0"/>
              <w:rPr>
                <w:rFonts w:ascii="Cambria" w:eastAsia="Times New Roman" w:hAnsi="Cambria"/>
                <w:color w:val="3A3A3A"/>
                <w:sz w:val="20"/>
                <w:szCs w:val="20"/>
              </w:rPr>
            </w:pPr>
            <w:r>
              <w:rPr>
                <w:rFonts w:ascii="Cambria" w:eastAsia="Times New Roman" w:hAnsi="Cambria"/>
                <w:color w:val="3A3A3A"/>
                <w:sz w:val="20"/>
                <w:szCs w:val="20"/>
              </w:rPr>
              <w:t>9407K12</w:t>
            </w:r>
          </w:p>
        </w:tc>
        <w:tc>
          <w:tcPr>
            <w:tcW w:w="3780" w:type="dxa"/>
            <w:tcBorders>
              <w:top w:val="nil"/>
              <w:left w:val="nil"/>
              <w:bottom w:val="single" w:sz="4" w:space="0" w:color="auto"/>
              <w:right w:val="single" w:sz="4" w:space="0" w:color="auto"/>
            </w:tcBorders>
            <w:shd w:val="clear" w:color="auto" w:fill="auto"/>
            <w:vAlign w:val="bottom"/>
          </w:tcPr>
          <w:p w:rsidR="00CA36E8" w:rsidRPr="00AB0BBF" w:rsidRDefault="00BE3652" w:rsidP="00CA36E8">
            <w:pPr>
              <w:spacing w:after="0"/>
              <w:ind w:firstLine="0"/>
              <w:rPr>
                <w:rFonts w:ascii="Cambria" w:eastAsia="Times New Roman" w:hAnsi="Cambria"/>
                <w:color w:val="3A3A3A"/>
                <w:sz w:val="20"/>
                <w:szCs w:val="20"/>
              </w:rPr>
            </w:pPr>
            <w:r>
              <w:rPr>
                <w:rFonts w:ascii="Cambria" w:eastAsia="Times New Roman" w:hAnsi="Cambria"/>
                <w:color w:val="3A3A3A"/>
                <w:sz w:val="20"/>
                <w:szCs w:val="20"/>
              </w:rPr>
              <w:t>For bubble injection valve</w:t>
            </w:r>
          </w:p>
        </w:tc>
      </w:tr>
      <w:tr w:rsidR="00CA36E8"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CA36E8" w:rsidRPr="008B58B4" w:rsidRDefault="00CA36E8" w:rsidP="00CA36E8">
            <w:pPr>
              <w:spacing w:after="0"/>
              <w:ind w:firstLine="0"/>
              <w:rPr>
                <w:rFonts w:ascii="Cambria" w:eastAsia="Times New Roman" w:hAnsi="Cambria"/>
                <w:bCs/>
                <w:color w:val="3A3A3A"/>
                <w:sz w:val="20"/>
                <w:szCs w:val="20"/>
              </w:rPr>
            </w:pPr>
            <w:r>
              <w:rPr>
                <w:rFonts w:ascii="Cambria" w:eastAsia="Times New Roman" w:hAnsi="Cambria"/>
                <w:bCs/>
                <w:color w:val="3A3A3A"/>
                <w:sz w:val="20"/>
                <w:szCs w:val="20"/>
              </w:rPr>
              <w:t>Syringe and 20 gage needle</w:t>
            </w:r>
          </w:p>
        </w:tc>
        <w:tc>
          <w:tcPr>
            <w:tcW w:w="1530" w:type="dxa"/>
            <w:tcBorders>
              <w:top w:val="nil"/>
              <w:left w:val="nil"/>
              <w:bottom w:val="single" w:sz="4" w:space="0" w:color="auto"/>
              <w:right w:val="single" w:sz="4" w:space="0" w:color="auto"/>
            </w:tcBorders>
            <w:shd w:val="clear" w:color="auto" w:fill="auto"/>
            <w:noWrap/>
            <w:vAlign w:val="bottom"/>
          </w:tcPr>
          <w:p w:rsidR="00CA36E8" w:rsidRPr="00AB0BBF" w:rsidRDefault="00CA36E8" w:rsidP="00CA36E8">
            <w:pPr>
              <w:spacing w:after="0"/>
              <w:ind w:firstLine="0"/>
              <w:rPr>
                <w:rFonts w:ascii="Cambria" w:eastAsia="Times New Roman" w:hAnsi="Cambria"/>
                <w:color w:val="3A3A3A"/>
                <w:sz w:val="20"/>
                <w:szCs w:val="20"/>
              </w:rPr>
            </w:pPr>
          </w:p>
        </w:tc>
        <w:tc>
          <w:tcPr>
            <w:tcW w:w="1800" w:type="dxa"/>
            <w:tcBorders>
              <w:top w:val="nil"/>
              <w:left w:val="nil"/>
              <w:bottom w:val="single" w:sz="4" w:space="0" w:color="auto"/>
              <w:right w:val="single" w:sz="4" w:space="0" w:color="auto"/>
            </w:tcBorders>
            <w:shd w:val="clear" w:color="auto" w:fill="auto"/>
            <w:noWrap/>
            <w:vAlign w:val="bottom"/>
          </w:tcPr>
          <w:p w:rsidR="00CA36E8" w:rsidRPr="00AB0BBF" w:rsidRDefault="00CA36E8" w:rsidP="00CA36E8">
            <w:pPr>
              <w:spacing w:after="0"/>
              <w:ind w:firstLine="0"/>
              <w:rPr>
                <w:rFonts w:ascii="Cambria" w:eastAsia="Times New Roman" w:hAnsi="Cambria"/>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rsidR="00CA36E8" w:rsidRPr="00AB0BBF" w:rsidRDefault="00CA36E8" w:rsidP="00CA36E8">
            <w:pPr>
              <w:spacing w:after="0"/>
              <w:ind w:firstLine="0"/>
              <w:rPr>
                <w:rFonts w:ascii="Cambria" w:eastAsia="Times New Roman" w:hAnsi="Cambria"/>
                <w:color w:val="3A3A3A"/>
                <w:sz w:val="20"/>
                <w:szCs w:val="20"/>
              </w:rPr>
            </w:pPr>
          </w:p>
        </w:tc>
      </w:tr>
      <w:tr w:rsidR="00CA36E8"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CA36E8" w:rsidRDefault="00CA36E8" w:rsidP="00CA36E8">
            <w:pPr>
              <w:spacing w:after="0"/>
              <w:ind w:firstLine="0"/>
              <w:rPr>
                <w:rFonts w:ascii="Cambria" w:eastAsia="Times New Roman" w:hAnsi="Cambria"/>
                <w:color w:val="3A3A3A"/>
                <w:sz w:val="20"/>
                <w:szCs w:val="20"/>
              </w:rPr>
            </w:pPr>
            <w:r>
              <w:rPr>
                <w:rFonts w:ascii="Cambria" w:eastAsia="Times New Roman" w:hAnsi="Cambria"/>
                <w:color w:val="3A3A3A"/>
                <w:sz w:val="20"/>
                <w:szCs w:val="20"/>
              </w:rPr>
              <w:t>Lighting panel</w:t>
            </w:r>
          </w:p>
        </w:tc>
        <w:tc>
          <w:tcPr>
            <w:tcW w:w="1530" w:type="dxa"/>
            <w:tcBorders>
              <w:top w:val="nil"/>
              <w:left w:val="nil"/>
              <w:bottom w:val="single" w:sz="4" w:space="0" w:color="auto"/>
              <w:right w:val="single" w:sz="4" w:space="0" w:color="auto"/>
            </w:tcBorders>
            <w:shd w:val="clear" w:color="auto" w:fill="auto"/>
            <w:noWrap/>
            <w:vAlign w:val="bottom"/>
          </w:tcPr>
          <w:p w:rsidR="00CA36E8" w:rsidRDefault="00CA36E8" w:rsidP="00CA36E8">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StudioPRO</w:t>
            </w:r>
            <w:proofErr w:type="spellEnd"/>
          </w:p>
        </w:tc>
        <w:tc>
          <w:tcPr>
            <w:tcW w:w="1800" w:type="dxa"/>
            <w:tcBorders>
              <w:top w:val="nil"/>
              <w:left w:val="nil"/>
              <w:bottom w:val="single" w:sz="4" w:space="0" w:color="auto"/>
              <w:right w:val="single" w:sz="4" w:space="0" w:color="auto"/>
            </w:tcBorders>
            <w:shd w:val="clear" w:color="auto" w:fill="auto"/>
            <w:noWrap/>
            <w:vAlign w:val="bottom"/>
          </w:tcPr>
          <w:p w:rsidR="00CA36E8" w:rsidRPr="00AB0BBF" w:rsidRDefault="00CA36E8" w:rsidP="00CA36E8">
            <w:pPr>
              <w:spacing w:after="0"/>
              <w:ind w:firstLine="0"/>
              <w:rPr>
                <w:rFonts w:ascii="Cambria" w:eastAsia="Times New Roman" w:hAnsi="Cambria"/>
                <w:color w:val="3A3A3A"/>
                <w:sz w:val="20"/>
                <w:szCs w:val="20"/>
              </w:rPr>
            </w:pPr>
            <w:r w:rsidRPr="00CA36E8">
              <w:rPr>
                <w:rFonts w:ascii="Cambria" w:eastAsia="Times New Roman" w:hAnsi="Cambria"/>
                <w:color w:val="3A3A3A"/>
                <w:sz w:val="20"/>
                <w:szCs w:val="20"/>
              </w:rPr>
              <w:t>S-600D</w:t>
            </w:r>
          </w:p>
        </w:tc>
        <w:tc>
          <w:tcPr>
            <w:tcW w:w="3780" w:type="dxa"/>
            <w:tcBorders>
              <w:top w:val="nil"/>
              <w:left w:val="nil"/>
              <w:bottom w:val="single" w:sz="4" w:space="0" w:color="auto"/>
              <w:right w:val="single" w:sz="4" w:space="0" w:color="auto"/>
            </w:tcBorders>
            <w:shd w:val="clear" w:color="auto" w:fill="auto"/>
            <w:vAlign w:val="bottom"/>
          </w:tcPr>
          <w:p w:rsidR="00CA36E8" w:rsidRDefault="00BE3652" w:rsidP="00CA36E8">
            <w:pPr>
              <w:spacing w:after="0"/>
              <w:ind w:firstLine="0"/>
              <w:rPr>
                <w:rFonts w:ascii="Cambria" w:eastAsia="Times New Roman" w:hAnsi="Cambria"/>
                <w:color w:val="3A3A3A"/>
                <w:sz w:val="20"/>
                <w:szCs w:val="20"/>
              </w:rPr>
            </w:pPr>
            <w:r>
              <w:rPr>
                <w:rFonts w:ascii="Cambria" w:eastAsia="Times New Roman" w:hAnsi="Cambria"/>
                <w:color w:val="3A3A3A"/>
                <w:sz w:val="20"/>
                <w:szCs w:val="20"/>
              </w:rPr>
              <w:t>Backlighting systems</w:t>
            </w:r>
          </w:p>
        </w:tc>
      </w:tr>
      <w:tr w:rsidR="00CA36E8"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CA36E8" w:rsidRDefault="00CA36E8" w:rsidP="00CA36E8">
            <w:pPr>
              <w:spacing w:after="0"/>
              <w:ind w:firstLine="0"/>
              <w:rPr>
                <w:rFonts w:ascii="Cambria" w:eastAsia="Times New Roman" w:hAnsi="Cambria"/>
                <w:color w:val="3A3A3A"/>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rsidR="00CA36E8" w:rsidRPr="00AB0BBF" w:rsidRDefault="00CA36E8" w:rsidP="00CA36E8">
            <w:pPr>
              <w:spacing w:after="0"/>
              <w:ind w:firstLine="0"/>
              <w:rPr>
                <w:rFonts w:ascii="Cambria" w:eastAsia="Times New Roman" w:hAnsi="Cambria"/>
                <w:color w:val="3A3A3A"/>
                <w:sz w:val="20"/>
                <w:szCs w:val="20"/>
              </w:rPr>
            </w:pPr>
          </w:p>
        </w:tc>
        <w:tc>
          <w:tcPr>
            <w:tcW w:w="1800" w:type="dxa"/>
            <w:tcBorders>
              <w:top w:val="nil"/>
              <w:left w:val="nil"/>
              <w:bottom w:val="single" w:sz="4" w:space="0" w:color="auto"/>
              <w:right w:val="single" w:sz="4" w:space="0" w:color="auto"/>
            </w:tcBorders>
            <w:shd w:val="clear" w:color="auto" w:fill="auto"/>
            <w:noWrap/>
            <w:vAlign w:val="bottom"/>
          </w:tcPr>
          <w:p w:rsidR="00CA36E8" w:rsidRDefault="00CA36E8" w:rsidP="00CA36E8">
            <w:pPr>
              <w:spacing w:after="0"/>
              <w:ind w:firstLine="0"/>
              <w:rPr>
                <w:rFonts w:ascii="Cambria" w:eastAsia="Times New Roman" w:hAnsi="Cambria"/>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rsidR="00CA36E8" w:rsidRPr="00AB0BBF" w:rsidRDefault="00CA36E8" w:rsidP="00CA36E8">
            <w:pPr>
              <w:spacing w:after="0"/>
              <w:ind w:firstLine="0"/>
              <w:rPr>
                <w:rFonts w:ascii="Cambria" w:eastAsia="Times New Roman" w:hAnsi="Cambria"/>
                <w:color w:val="3A3A3A"/>
                <w:sz w:val="20"/>
                <w:szCs w:val="20"/>
              </w:rPr>
            </w:pPr>
          </w:p>
        </w:tc>
      </w:tr>
      <w:tr w:rsidR="00CA36E8"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CA36E8" w:rsidRPr="008B58B4" w:rsidRDefault="00CA36E8" w:rsidP="00CA36E8">
            <w:pPr>
              <w:spacing w:after="0"/>
              <w:ind w:firstLine="0"/>
              <w:rPr>
                <w:rFonts w:ascii="Cambria" w:eastAsia="Times New Roman" w:hAnsi="Cambria"/>
                <w:b/>
                <w:color w:val="3A3A3A"/>
                <w:sz w:val="20"/>
                <w:szCs w:val="20"/>
              </w:rPr>
            </w:pPr>
            <w:r>
              <w:rPr>
                <w:rFonts w:ascii="Cambria" w:eastAsia="Times New Roman" w:hAnsi="Cambria"/>
                <w:b/>
                <w:color w:val="3A3A3A"/>
                <w:sz w:val="20"/>
                <w:szCs w:val="20"/>
              </w:rPr>
              <w:t>Chemicals</w:t>
            </w:r>
          </w:p>
        </w:tc>
        <w:tc>
          <w:tcPr>
            <w:tcW w:w="1530" w:type="dxa"/>
            <w:tcBorders>
              <w:top w:val="nil"/>
              <w:left w:val="nil"/>
              <w:bottom w:val="single" w:sz="4" w:space="0" w:color="auto"/>
              <w:right w:val="single" w:sz="4" w:space="0" w:color="auto"/>
            </w:tcBorders>
            <w:shd w:val="clear" w:color="auto" w:fill="auto"/>
            <w:noWrap/>
            <w:vAlign w:val="bottom"/>
          </w:tcPr>
          <w:p w:rsidR="00CA36E8" w:rsidRPr="00AB0BBF" w:rsidRDefault="00CA36E8" w:rsidP="00CA36E8">
            <w:pPr>
              <w:spacing w:after="0"/>
              <w:rPr>
                <w:rFonts w:ascii="Cambria" w:eastAsia="Times New Roman" w:hAnsi="Cambria"/>
                <w:color w:val="3A3A3A"/>
                <w:sz w:val="20"/>
                <w:szCs w:val="20"/>
              </w:rPr>
            </w:pPr>
          </w:p>
        </w:tc>
        <w:tc>
          <w:tcPr>
            <w:tcW w:w="1800" w:type="dxa"/>
            <w:tcBorders>
              <w:top w:val="nil"/>
              <w:left w:val="nil"/>
              <w:bottom w:val="single" w:sz="4" w:space="0" w:color="auto"/>
              <w:right w:val="single" w:sz="4" w:space="0" w:color="auto"/>
            </w:tcBorders>
            <w:shd w:val="clear" w:color="auto" w:fill="auto"/>
            <w:noWrap/>
            <w:vAlign w:val="bottom"/>
          </w:tcPr>
          <w:p w:rsidR="00CA36E8" w:rsidRPr="00AB0BBF" w:rsidRDefault="00CA36E8" w:rsidP="00CA36E8">
            <w:pPr>
              <w:spacing w:after="0"/>
              <w:rPr>
                <w:rFonts w:ascii="Cambria" w:eastAsia="Times New Roman" w:hAnsi="Cambria"/>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rsidR="00CA36E8" w:rsidRPr="00AB0BBF" w:rsidRDefault="00CA36E8" w:rsidP="00CA36E8">
            <w:pPr>
              <w:spacing w:after="0"/>
              <w:rPr>
                <w:rFonts w:ascii="Cambria" w:eastAsia="Times New Roman" w:hAnsi="Cambria"/>
                <w:color w:val="3A3A3A"/>
                <w:sz w:val="20"/>
                <w:szCs w:val="20"/>
              </w:rPr>
            </w:pPr>
          </w:p>
        </w:tc>
      </w:tr>
      <w:tr w:rsidR="00BE3652"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BE3652" w:rsidRPr="00AB0BBF" w:rsidRDefault="00BE3652" w:rsidP="00BE3652">
            <w:pPr>
              <w:spacing w:after="0"/>
              <w:ind w:firstLine="0"/>
              <w:rPr>
                <w:rFonts w:ascii="Cambria" w:eastAsia="Times New Roman" w:hAnsi="Cambria"/>
                <w:color w:val="3A3A3A"/>
                <w:sz w:val="20"/>
                <w:szCs w:val="20"/>
              </w:rPr>
            </w:pPr>
            <w:r>
              <w:rPr>
                <w:rFonts w:ascii="Cambria" w:eastAsia="Times New Roman" w:hAnsi="Cambria"/>
                <w:color w:val="3A3A3A"/>
                <w:sz w:val="20"/>
                <w:szCs w:val="20"/>
              </w:rPr>
              <w:t>Glycerin (1-2 gal)</w:t>
            </w:r>
          </w:p>
        </w:tc>
        <w:tc>
          <w:tcPr>
            <w:tcW w:w="1530" w:type="dxa"/>
            <w:tcBorders>
              <w:top w:val="nil"/>
              <w:left w:val="nil"/>
              <w:bottom w:val="single" w:sz="4" w:space="0" w:color="auto"/>
              <w:right w:val="single" w:sz="4" w:space="0" w:color="auto"/>
            </w:tcBorders>
            <w:shd w:val="clear" w:color="auto" w:fill="auto"/>
            <w:noWrap/>
            <w:vAlign w:val="bottom"/>
          </w:tcPr>
          <w:p w:rsidR="00BE3652" w:rsidRPr="00AB0BBF" w:rsidRDefault="00BE3652" w:rsidP="00BE3652">
            <w:pPr>
              <w:spacing w:after="0"/>
              <w:ind w:firstLine="0"/>
              <w:rPr>
                <w:rFonts w:ascii="Cambria" w:eastAsia="Times New Roman" w:hAnsi="Cambria"/>
                <w:color w:val="3A3A3A"/>
                <w:sz w:val="20"/>
                <w:szCs w:val="20"/>
              </w:rPr>
            </w:pPr>
            <w:r>
              <w:rPr>
                <w:rFonts w:ascii="Cambria" w:eastAsia="Times New Roman" w:hAnsi="Cambria"/>
                <w:color w:val="3A3A3A"/>
                <w:sz w:val="20"/>
                <w:szCs w:val="20"/>
              </w:rPr>
              <w:t>Essential Depot</w:t>
            </w:r>
          </w:p>
        </w:tc>
        <w:tc>
          <w:tcPr>
            <w:tcW w:w="1800" w:type="dxa"/>
            <w:tcBorders>
              <w:top w:val="nil"/>
              <w:left w:val="nil"/>
              <w:bottom w:val="single" w:sz="4" w:space="0" w:color="auto"/>
              <w:right w:val="single" w:sz="4" w:space="0" w:color="auto"/>
            </w:tcBorders>
            <w:shd w:val="clear" w:color="auto" w:fill="auto"/>
            <w:noWrap/>
            <w:vAlign w:val="bottom"/>
          </w:tcPr>
          <w:p w:rsidR="00BE3652" w:rsidRPr="00AB0BBF" w:rsidRDefault="00BE3652" w:rsidP="00BE3652">
            <w:pPr>
              <w:spacing w:after="0"/>
              <w:ind w:firstLine="0"/>
              <w:rPr>
                <w:rFonts w:ascii="Cambria" w:eastAsia="Times New Roman" w:hAnsi="Cambria"/>
                <w:color w:val="3A3A3A"/>
                <w:sz w:val="20"/>
                <w:szCs w:val="20"/>
              </w:rPr>
            </w:pPr>
            <w:r w:rsidRPr="00BE3652">
              <w:rPr>
                <w:rFonts w:ascii="Cambria" w:eastAsia="Times New Roman" w:hAnsi="Cambria"/>
                <w:bCs/>
                <w:color w:val="3A3A3A"/>
                <w:sz w:val="20"/>
                <w:szCs w:val="20"/>
              </w:rPr>
              <w:t>892647002291</w:t>
            </w:r>
          </w:p>
        </w:tc>
        <w:tc>
          <w:tcPr>
            <w:tcW w:w="3780" w:type="dxa"/>
            <w:tcBorders>
              <w:top w:val="nil"/>
              <w:left w:val="nil"/>
              <w:bottom w:val="single" w:sz="4" w:space="0" w:color="auto"/>
              <w:right w:val="single" w:sz="4" w:space="0" w:color="auto"/>
            </w:tcBorders>
            <w:shd w:val="clear" w:color="auto" w:fill="auto"/>
            <w:vAlign w:val="bottom"/>
          </w:tcPr>
          <w:p w:rsidR="00BE3652" w:rsidRPr="00AB0BBF" w:rsidRDefault="00BE3652" w:rsidP="00BE3652">
            <w:pPr>
              <w:spacing w:after="0"/>
              <w:ind w:firstLine="0"/>
              <w:rPr>
                <w:rFonts w:ascii="Cambria" w:eastAsia="Times New Roman" w:hAnsi="Cambria"/>
                <w:color w:val="3A3A3A"/>
                <w:sz w:val="20"/>
                <w:szCs w:val="20"/>
              </w:rPr>
            </w:pPr>
          </w:p>
        </w:tc>
      </w:tr>
      <w:tr w:rsidR="00BE3652"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BE3652" w:rsidRPr="00BE3652" w:rsidRDefault="00BE3652" w:rsidP="00CA36E8">
            <w:pPr>
              <w:spacing w:after="0"/>
              <w:ind w:firstLine="0"/>
              <w:rPr>
                <w:rFonts w:ascii="Cambria" w:eastAsia="Times New Roman" w:hAnsi="Cambria"/>
                <w:color w:val="3A3A3A"/>
                <w:sz w:val="20"/>
                <w:szCs w:val="20"/>
              </w:rPr>
            </w:pPr>
            <w:r>
              <w:rPr>
                <w:rFonts w:ascii="Cambria" w:eastAsia="Times New Roman" w:hAnsi="Cambria"/>
                <w:color w:val="3A3A3A"/>
                <w:sz w:val="20"/>
                <w:szCs w:val="20"/>
              </w:rPr>
              <w:t>Vegetable oil (Soybean oil)</w:t>
            </w:r>
          </w:p>
        </w:tc>
        <w:tc>
          <w:tcPr>
            <w:tcW w:w="1530" w:type="dxa"/>
            <w:tcBorders>
              <w:top w:val="nil"/>
              <w:left w:val="nil"/>
              <w:bottom w:val="single" w:sz="4" w:space="0" w:color="auto"/>
              <w:right w:val="single" w:sz="4" w:space="0" w:color="auto"/>
            </w:tcBorders>
            <w:shd w:val="clear" w:color="auto" w:fill="auto"/>
            <w:noWrap/>
            <w:vAlign w:val="bottom"/>
          </w:tcPr>
          <w:p w:rsidR="00BE3652" w:rsidRPr="00AB0BBF" w:rsidRDefault="00BE3652" w:rsidP="00CA36E8">
            <w:pPr>
              <w:spacing w:after="0"/>
              <w:rPr>
                <w:rFonts w:ascii="Cambria" w:eastAsia="Times New Roman" w:hAnsi="Cambria"/>
                <w:color w:val="3A3A3A"/>
                <w:sz w:val="20"/>
                <w:szCs w:val="20"/>
              </w:rPr>
            </w:pPr>
          </w:p>
        </w:tc>
        <w:tc>
          <w:tcPr>
            <w:tcW w:w="1800" w:type="dxa"/>
            <w:tcBorders>
              <w:top w:val="nil"/>
              <w:left w:val="nil"/>
              <w:bottom w:val="single" w:sz="4" w:space="0" w:color="auto"/>
              <w:right w:val="single" w:sz="4" w:space="0" w:color="auto"/>
            </w:tcBorders>
            <w:shd w:val="clear" w:color="auto" w:fill="auto"/>
            <w:noWrap/>
            <w:vAlign w:val="bottom"/>
          </w:tcPr>
          <w:p w:rsidR="00BE3652" w:rsidRPr="00AB0BBF" w:rsidRDefault="00BE3652" w:rsidP="00CA36E8">
            <w:pPr>
              <w:spacing w:after="0"/>
              <w:rPr>
                <w:rFonts w:ascii="Cambria" w:eastAsia="Times New Roman" w:hAnsi="Cambria"/>
                <w:color w:val="3A3A3A"/>
                <w:sz w:val="20"/>
                <w:szCs w:val="20"/>
              </w:rPr>
            </w:pPr>
          </w:p>
        </w:tc>
        <w:tc>
          <w:tcPr>
            <w:tcW w:w="3780" w:type="dxa"/>
            <w:tcBorders>
              <w:top w:val="nil"/>
              <w:left w:val="nil"/>
              <w:bottom w:val="single" w:sz="4" w:space="0" w:color="auto"/>
              <w:right w:val="single" w:sz="4" w:space="0" w:color="auto"/>
            </w:tcBorders>
            <w:shd w:val="clear" w:color="auto" w:fill="auto"/>
            <w:vAlign w:val="bottom"/>
          </w:tcPr>
          <w:p w:rsidR="00BE3652" w:rsidRPr="00AB0BBF" w:rsidRDefault="00BE3652" w:rsidP="00CA36E8">
            <w:pPr>
              <w:spacing w:after="0"/>
              <w:rPr>
                <w:rFonts w:ascii="Cambria" w:eastAsia="Times New Roman" w:hAnsi="Cambria"/>
                <w:color w:val="3A3A3A"/>
                <w:sz w:val="20"/>
                <w:szCs w:val="20"/>
              </w:rPr>
            </w:pPr>
          </w:p>
        </w:tc>
      </w:tr>
      <w:tr w:rsidR="00CA36E8" w:rsidRPr="00AB0BBF"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rsidR="00CA36E8" w:rsidRPr="00AB0BBF" w:rsidRDefault="00BE3652" w:rsidP="00CA36E8">
            <w:pPr>
              <w:spacing w:after="0"/>
              <w:ind w:firstLine="0"/>
              <w:rPr>
                <w:rFonts w:ascii="Cambria" w:eastAsia="Times New Roman" w:hAnsi="Cambria"/>
                <w:color w:val="3A3A3A"/>
                <w:sz w:val="20"/>
                <w:szCs w:val="20"/>
              </w:rPr>
            </w:pPr>
            <w:r>
              <w:rPr>
                <w:rFonts w:ascii="Cambria" w:eastAsia="Times New Roman" w:hAnsi="Cambria"/>
                <w:color w:val="3A3A3A"/>
                <w:sz w:val="20"/>
                <w:szCs w:val="20"/>
              </w:rPr>
              <w:t>Oil-based food coloring</w:t>
            </w:r>
          </w:p>
        </w:tc>
        <w:tc>
          <w:tcPr>
            <w:tcW w:w="1530" w:type="dxa"/>
            <w:tcBorders>
              <w:top w:val="nil"/>
              <w:left w:val="nil"/>
              <w:bottom w:val="single" w:sz="4" w:space="0" w:color="auto"/>
              <w:right w:val="single" w:sz="4" w:space="0" w:color="auto"/>
            </w:tcBorders>
            <w:shd w:val="clear" w:color="auto" w:fill="auto"/>
            <w:noWrap/>
            <w:vAlign w:val="bottom"/>
          </w:tcPr>
          <w:p w:rsidR="00CA36E8" w:rsidRPr="00AB0BBF" w:rsidRDefault="00BE3652" w:rsidP="00CA36E8">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Chefmaster</w:t>
            </w:r>
            <w:proofErr w:type="spellEnd"/>
          </w:p>
        </w:tc>
        <w:tc>
          <w:tcPr>
            <w:tcW w:w="1800" w:type="dxa"/>
            <w:tcBorders>
              <w:top w:val="nil"/>
              <w:left w:val="nil"/>
              <w:bottom w:val="single" w:sz="4" w:space="0" w:color="auto"/>
              <w:right w:val="single" w:sz="4" w:space="0" w:color="auto"/>
            </w:tcBorders>
            <w:shd w:val="clear" w:color="auto" w:fill="auto"/>
            <w:noWrap/>
            <w:vAlign w:val="bottom"/>
          </w:tcPr>
          <w:p w:rsidR="00CA36E8" w:rsidRPr="00AB0BBF" w:rsidRDefault="00BE3652" w:rsidP="00CA36E8">
            <w:pPr>
              <w:spacing w:after="0"/>
              <w:ind w:firstLine="0"/>
              <w:rPr>
                <w:rFonts w:ascii="Cambria" w:eastAsia="Times New Roman" w:hAnsi="Cambria"/>
                <w:color w:val="3A3A3A"/>
                <w:sz w:val="20"/>
                <w:szCs w:val="20"/>
              </w:rPr>
            </w:pPr>
            <w:r w:rsidRPr="00BE3652">
              <w:rPr>
                <w:rFonts w:ascii="Cambria" w:eastAsia="Times New Roman" w:hAnsi="Cambria"/>
                <w:color w:val="3A3A3A"/>
                <w:sz w:val="20"/>
                <w:szCs w:val="20"/>
              </w:rPr>
              <w:t>750025 4211</w:t>
            </w:r>
          </w:p>
        </w:tc>
        <w:tc>
          <w:tcPr>
            <w:tcW w:w="3780" w:type="dxa"/>
            <w:tcBorders>
              <w:top w:val="nil"/>
              <w:left w:val="nil"/>
              <w:bottom w:val="single" w:sz="4" w:space="0" w:color="auto"/>
              <w:right w:val="single" w:sz="4" w:space="0" w:color="auto"/>
            </w:tcBorders>
            <w:shd w:val="clear" w:color="auto" w:fill="auto"/>
            <w:vAlign w:val="bottom"/>
          </w:tcPr>
          <w:p w:rsidR="00CA36E8" w:rsidRPr="00AB0BBF" w:rsidRDefault="00BE3652" w:rsidP="00CA36E8">
            <w:pPr>
              <w:spacing w:after="0"/>
              <w:ind w:firstLine="0"/>
              <w:rPr>
                <w:rFonts w:ascii="Cambria" w:eastAsia="Times New Roman" w:hAnsi="Cambria"/>
                <w:color w:val="3A3A3A"/>
                <w:sz w:val="20"/>
                <w:szCs w:val="20"/>
              </w:rPr>
            </w:pPr>
            <w:proofErr w:type="spellStart"/>
            <w:r>
              <w:rPr>
                <w:rFonts w:ascii="Cambria" w:eastAsia="Times New Roman" w:hAnsi="Cambria"/>
                <w:color w:val="3A3A3A"/>
                <w:sz w:val="20"/>
                <w:szCs w:val="20"/>
              </w:rPr>
              <w:t>Chefmaster</w:t>
            </w:r>
            <w:proofErr w:type="spellEnd"/>
            <w:r>
              <w:rPr>
                <w:rFonts w:ascii="Cambria" w:eastAsia="Times New Roman" w:hAnsi="Cambria"/>
                <w:color w:val="3A3A3A"/>
                <w:sz w:val="20"/>
                <w:szCs w:val="20"/>
              </w:rPr>
              <w:t xml:space="preserve"> red 4211 used here</w:t>
            </w:r>
          </w:p>
        </w:tc>
      </w:tr>
    </w:tbl>
    <w:p w:rsidR="00056CD6" w:rsidRDefault="00056CD6" w:rsidP="004A0852">
      <w:pPr>
        <w:ind w:firstLine="0"/>
      </w:pPr>
    </w:p>
    <w:p w:rsidR="00DF4474" w:rsidRDefault="00DF4474" w:rsidP="00DF4474">
      <w:pPr>
        <w:pStyle w:val="Heading1"/>
        <w:ind w:firstLine="0"/>
      </w:pPr>
      <w:r>
        <w:t>References</w:t>
      </w:r>
    </w:p>
    <w:p w:rsidR="0063574F" w:rsidRPr="0063574F" w:rsidRDefault="00DF4474" w:rsidP="0063574F">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63574F" w:rsidRPr="0063574F">
        <w:rPr>
          <w:noProof/>
        </w:rPr>
        <w:t>[1]</w:t>
      </w:r>
      <w:r w:rsidR="0063574F" w:rsidRPr="0063574F">
        <w:rPr>
          <w:noProof/>
        </w:rPr>
        <w:tab/>
        <w:t>J.S. Hadamard, Motion of liquid drops (viscous), Comp. Rend. Acad. Sci. Paris. 154 (1911) 1735–1755.</w:t>
      </w:r>
    </w:p>
    <w:p w:rsidR="0063574F" w:rsidRPr="0063574F" w:rsidRDefault="0063574F" w:rsidP="0063574F">
      <w:pPr>
        <w:widowControl w:val="0"/>
        <w:autoSpaceDE w:val="0"/>
        <w:autoSpaceDN w:val="0"/>
        <w:adjustRightInd w:val="0"/>
        <w:ind w:left="640" w:hanging="640"/>
        <w:rPr>
          <w:noProof/>
        </w:rPr>
      </w:pPr>
      <w:r w:rsidRPr="0063574F">
        <w:rPr>
          <w:noProof/>
        </w:rPr>
        <w:t>[2]</w:t>
      </w:r>
      <w:r w:rsidRPr="0063574F">
        <w:rPr>
          <w:noProof/>
        </w:rPr>
        <w:tab/>
        <w:t>W. Rybczynski, On the translatory motion of a fluid sphere in a viscous medium, Bull. Acad. Sci., Cracow, Ser. A. (1911) 40.</w:t>
      </w:r>
    </w:p>
    <w:p w:rsidR="00DF4474" w:rsidRPr="00DF4474" w:rsidRDefault="00DF4474" w:rsidP="009278AF">
      <w:pPr>
        <w:widowControl w:val="0"/>
        <w:autoSpaceDE w:val="0"/>
        <w:autoSpaceDN w:val="0"/>
        <w:adjustRightInd w:val="0"/>
        <w:ind w:left="640" w:hanging="640"/>
      </w:pPr>
      <w:r>
        <w:fldChar w:fldCharType="end"/>
      </w:r>
    </w:p>
    <w:sectPr w:rsidR="00DF4474" w:rsidRPr="00DF4474" w:rsidSect="00AD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1045E"/>
    <w:rsid w:val="00014B82"/>
    <w:rsid w:val="00023FC1"/>
    <w:rsid w:val="00025FA2"/>
    <w:rsid w:val="000345D3"/>
    <w:rsid w:val="000378A3"/>
    <w:rsid w:val="00051726"/>
    <w:rsid w:val="00056CD6"/>
    <w:rsid w:val="00063871"/>
    <w:rsid w:val="000642C1"/>
    <w:rsid w:val="0009055E"/>
    <w:rsid w:val="000B1EEF"/>
    <w:rsid w:val="000B5738"/>
    <w:rsid w:val="000D5FC1"/>
    <w:rsid w:val="000E6502"/>
    <w:rsid w:val="000F3D18"/>
    <w:rsid w:val="000F5722"/>
    <w:rsid w:val="0010514F"/>
    <w:rsid w:val="00111F28"/>
    <w:rsid w:val="001203BA"/>
    <w:rsid w:val="0013374A"/>
    <w:rsid w:val="00147CDB"/>
    <w:rsid w:val="00150A20"/>
    <w:rsid w:val="00154B75"/>
    <w:rsid w:val="0016074F"/>
    <w:rsid w:val="001753CD"/>
    <w:rsid w:val="0017778E"/>
    <w:rsid w:val="001A1A6B"/>
    <w:rsid w:val="00214113"/>
    <w:rsid w:val="00232E55"/>
    <w:rsid w:val="00281107"/>
    <w:rsid w:val="002861B7"/>
    <w:rsid w:val="00287501"/>
    <w:rsid w:val="00297E07"/>
    <w:rsid w:val="002D62E7"/>
    <w:rsid w:val="002E716F"/>
    <w:rsid w:val="002F5621"/>
    <w:rsid w:val="00312AD1"/>
    <w:rsid w:val="00321CFF"/>
    <w:rsid w:val="00326E1E"/>
    <w:rsid w:val="00347E09"/>
    <w:rsid w:val="00367A00"/>
    <w:rsid w:val="00386F70"/>
    <w:rsid w:val="0039729B"/>
    <w:rsid w:val="003A0073"/>
    <w:rsid w:val="003B4416"/>
    <w:rsid w:val="003C385E"/>
    <w:rsid w:val="003E564A"/>
    <w:rsid w:val="003E5DF9"/>
    <w:rsid w:val="003F475B"/>
    <w:rsid w:val="00400D19"/>
    <w:rsid w:val="004109B1"/>
    <w:rsid w:val="0042104B"/>
    <w:rsid w:val="0043139D"/>
    <w:rsid w:val="00431CD6"/>
    <w:rsid w:val="004668E1"/>
    <w:rsid w:val="00474897"/>
    <w:rsid w:val="00483AC4"/>
    <w:rsid w:val="004840DE"/>
    <w:rsid w:val="0049264D"/>
    <w:rsid w:val="004A0852"/>
    <w:rsid w:val="004A29C4"/>
    <w:rsid w:val="004A395D"/>
    <w:rsid w:val="004A713C"/>
    <w:rsid w:val="004D01DF"/>
    <w:rsid w:val="00503474"/>
    <w:rsid w:val="005272F5"/>
    <w:rsid w:val="005430BC"/>
    <w:rsid w:val="00545864"/>
    <w:rsid w:val="00550F11"/>
    <w:rsid w:val="00551A3E"/>
    <w:rsid w:val="0056064E"/>
    <w:rsid w:val="00564C4F"/>
    <w:rsid w:val="00565531"/>
    <w:rsid w:val="00587520"/>
    <w:rsid w:val="005920EE"/>
    <w:rsid w:val="005A61DA"/>
    <w:rsid w:val="005C35FF"/>
    <w:rsid w:val="00607BAB"/>
    <w:rsid w:val="0062292B"/>
    <w:rsid w:val="0063574F"/>
    <w:rsid w:val="00642C61"/>
    <w:rsid w:val="00645A7F"/>
    <w:rsid w:val="0065031C"/>
    <w:rsid w:val="006639CA"/>
    <w:rsid w:val="00677E5C"/>
    <w:rsid w:val="006A1631"/>
    <w:rsid w:val="006A1ACF"/>
    <w:rsid w:val="006A6C55"/>
    <w:rsid w:val="006C6EA3"/>
    <w:rsid w:val="006D4D8E"/>
    <w:rsid w:val="006E4CF9"/>
    <w:rsid w:val="0073477A"/>
    <w:rsid w:val="00750891"/>
    <w:rsid w:val="00763172"/>
    <w:rsid w:val="00763DAE"/>
    <w:rsid w:val="007672AB"/>
    <w:rsid w:val="007829E6"/>
    <w:rsid w:val="007838A5"/>
    <w:rsid w:val="00785E09"/>
    <w:rsid w:val="007A1355"/>
    <w:rsid w:val="007B2530"/>
    <w:rsid w:val="007B7211"/>
    <w:rsid w:val="007B7772"/>
    <w:rsid w:val="007C11F6"/>
    <w:rsid w:val="007C26E7"/>
    <w:rsid w:val="007C2783"/>
    <w:rsid w:val="007D065D"/>
    <w:rsid w:val="007D4D79"/>
    <w:rsid w:val="007D612A"/>
    <w:rsid w:val="00800FC2"/>
    <w:rsid w:val="00807F6A"/>
    <w:rsid w:val="00814802"/>
    <w:rsid w:val="00825C51"/>
    <w:rsid w:val="008310D3"/>
    <w:rsid w:val="0083199E"/>
    <w:rsid w:val="0084170A"/>
    <w:rsid w:val="00860D4A"/>
    <w:rsid w:val="00870650"/>
    <w:rsid w:val="008922DB"/>
    <w:rsid w:val="00892D50"/>
    <w:rsid w:val="008A108B"/>
    <w:rsid w:val="008A1153"/>
    <w:rsid w:val="008A1E26"/>
    <w:rsid w:val="008B58B4"/>
    <w:rsid w:val="008D2C58"/>
    <w:rsid w:val="008D2C74"/>
    <w:rsid w:val="008F3B54"/>
    <w:rsid w:val="008F6E1A"/>
    <w:rsid w:val="008F70FF"/>
    <w:rsid w:val="00917414"/>
    <w:rsid w:val="00923037"/>
    <w:rsid w:val="009278AF"/>
    <w:rsid w:val="00931B0C"/>
    <w:rsid w:val="009373EC"/>
    <w:rsid w:val="0094719E"/>
    <w:rsid w:val="00947F4D"/>
    <w:rsid w:val="00950B43"/>
    <w:rsid w:val="00953A71"/>
    <w:rsid w:val="00954D34"/>
    <w:rsid w:val="0095681C"/>
    <w:rsid w:val="009879F8"/>
    <w:rsid w:val="00993E44"/>
    <w:rsid w:val="009C2318"/>
    <w:rsid w:val="009D6CF9"/>
    <w:rsid w:val="009E42C4"/>
    <w:rsid w:val="009F6467"/>
    <w:rsid w:val="00A00C2E"/>
    <w:rsid w:val="00A04496"/>
    <w:rsid w:val="00A304A4"/>
    <w:rsid w:val="00A319B8"/>
    <w:rsid w:val="00A540A7"/>
    <w:rsid w:val="00A837DB"/>
    <w:rsid w:val="00A965A1"/>
    <w:rsid w:val="00AA630E"/>
    <w:rsid w:val="00AC06AA"/>
    <w:rsid w:val="00AD70B2"/>
    <w:rsid w:val="00AD7B94"/>
    <w:rsid w:val="00AF1C2D"/>
    <w:rsid w:val="00AF4152"/>
    <w:rsid w:val="00B023B6"/>
    <w:rsid w:val="00B26465"/>
    <w:rsid w:val="00B36FEC"/>
    <w:rsid w:val="00B47376"/>
    <w:rsid w:val="00B54F52"/>
    <w:rsid w:val="00B63425"/>
    <w:rsid w:val="00B8049E"/>
    <w:rsid w:val="00B83179"/>
    <w:rsid w:val="00B94293"/>
    <w:rsid w:val="00B97384"/>
    <w:rsid w:val="00BB0EA2"/>
    <w:rsid w:val="00BB4614"/>
    <w:rsid w:val="00BB71BF"/>
    <w:rsid w:val="00BC02D8"/>
    <w:rsid w:val="00BC18DF"/>
    <w:rsid w:val="00BC6470"/>
    <w:rsid w:val="00BE3652"/>
    <w:rsid w:val="00C17FC4"/>
    <w:rsid w:val="00C24605"/>
    <w:rsid w:val="00C44A05"/>
    <w:rsid w:val="00C51521"/>
    <w:rsid w:val="00C666BB"/>
    <w:rsid w:val="00C96B08"/>
    <w:rsid w:val="00CA36E8"/>
    <w:rsid w:val="00CF4356"/>
    <w:rsid w:val="00D02C91"/>
    <w:rsid w:val="00D23DC4"/>
    <w:rsid w:val="00D72606"/>
    <w:rsid w:val="00D92B5C"/>
    <w:rsid w:val="00D96405"/>
    <w:rsid w:val="00DB160B"/>
    <w:rsid w:val="00DC067C"/>
    <w:rsid w:val="00DC186C"/>
    <w:rsid w:val="00DD1765"/>
    <w:rsid w:val="00DF4474"/>
    <w:rsid w:val="00E0476E"/>
    <w:rsid w:val="00E2409E"/>
    <w:rsid w:val="00E33C86"/>
    <w:rsid w:val="00E67FFB"/>
    <w:rsid w:val="00E83E51"/>
    <w:rsid w:val="00EA4B92"/>
    <w:rsid w:val="00EB2412"/>
    <w:rsid w:val="00EB417E"/>
    <w:rsid w:val="00EB79D1"/>
    <w:rsid w:val="00EC5B57"/>
    <w:rsid w:val="00ED37ED"/>
    <w:rsid w:val="00EE4468"/>
    <w:rsid w:val="00F0385B"/>
    <w:rsid w:val="00F06F42"/>
    <w:rsid w:val="00F130A7"/>
    <w:rsid w:val="00F15982"/>
    <w:rsid w:val="00F53275"/>
    <w:rsid w:val="00F534B3"/>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BA71B-0F69-4017-A40A-9992133D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908681605">
          <w:marLeft w:val="0"/>
          <w:marRight w:val="0"/>
          <w:marTop w:val="0"/>
          <w:marBottom w:val="0"/>
          <w:divBdr>
            <w:top w:val="none" w:sz="0" w:space="0" w:color="auto"/>
            <w:left w:val="none" w:sz="0" w:space="0" w:color="auto"/>
            <w:bottom w:val="none" w:sz="0" w:space="0" w:color="auto"/>
            <w:right w:val="none" w:sz="0" w:space="0" w:color="auto"/>
          </w:divBdr>
        </w:div>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4DB6-7FE8-4477-BD3A-4428C0BE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3812</TotalTime>
  <Pages>5</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yongchen</dc:creator>
  <cp:lastModifiedBy>Alex</cp:lastModifiedBy>
  <cp:revision>61</cp:revision>
  <dcterms:created xsi:type="dcterms:W3CDTF">2016-05-15T14:41:00Z</dcterms:created>
  <dcterms:modified xsi:type="dcterms:W3CDTF">2016-09-28T03:11:00Z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