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383DC2" w14:textId="502D70AA" w:rsidR="00172474" w:rsidRDefault="00A61505" w:rsidP="00172474">
      <w:pPr>
        <w:spacing w:after="0" w:line="240" w:lineRule="auto"/>
        <w:jc w:val="center"/>
        <w:rPr>
          <w:b/>
        </w:rPr>
      </w:pPr>
      <w:r>
        <w:rPr>
          <w:b/>
        </w:rPr>
        <w:t xml:space="preserve">10388 -- </w:t>
      </w:r>
      <w:r w:rsidR="00172474" w:rsidRPr="00172474">
        <w:rPr>
          <w:b/>
        </w:rPr>
        <w:t>Compound Administration Methods for Laboratory Mice and Rats</w:t>
      </w:r>
      <w:r w:rsidR="00172474">
        <w:rPr>
          <w:b/>
        </w:rPr>
        <w:t>:</w:t>
      </w:r>
    </w:p>
    <w:p w14:paraId="6EA5F47F" w14:textId="77777777" w:rsidR="00172474" w:rsidRPr="00172474" w:rsidRDefault="00172474" w:rsidP="00172474">
      <w:pPr>
        <w:spacing w:after="0" w:line="240" w:lineRule="auto"/>
        <w:jc w:val="center"/>
        <w:rPr>
          <w:b/>
        </w:rPr>
      </w:pPr>
      <w:r>
        <w:rPr>
          <w:b/>
        </w:rPr>
        <w:t>Oral Dosing and Topical Applications</w:t>
      </w:r>
    </w:p>
    <w:p w14:paraId="7A480CA9" w14:textId="77777777" w:rsidR="00A61505" w:rsidRDefault="00A61505" w:rsidP="00A61505">
      <w:pPr>
        <w:spacing w:before="200"/>
        <w:contextualSpacing/>
        <w:rPr>
          <w:b/>
        </w:rPr>
      </w:pPr>
    </w:p>
    <w:p w14:paraId="4E7661D9" w14:textId="77777777" w:rsidR="00A61505" w:rsidRDefault="00172474" w:rsidP="00A61505">
      <w:pPr>
        <w:rPr>
          <w:b/>
        </w:rPr>
      </w:pPr>
      <w:r w:rsidRPr="00084713">
        <w:rPr>
          <w:b/>
        </w:rPr>
        <w:t>Overview</w:t>
      </w:r>
    </w:p>
    <w:p w14:paraId="391AA69B" w14:textId="167E0326" w:rsidR="00A61505" w:rsidRPr="00EC5E66" w:rsidRDefault="00A61505" w:rsidP="00A61505">
      <w:r w:rsidRPr="00EC5E66">
        <w:t>Source: Kay Stewart, RVT, RLATG, CMAR; Valerie A. Schroeder, RVT, RLATG. University of Notre Dame, IN</w:t>
      </w:r>
    </w:p>
    <w:p w14:paraId="62231E03" w14:textId="2291557D" w:rsidR="00172474" w:rsidRDefault="00A367C1" w:rsidP="00A61505">
      <w:pPr>
        <w:spacing w:before="200"/>
        <w:contextualSpacing/>
        <w:rPr>
          <w:vertAlign w:val="superscript"/>
        </w:rPr>
      </w:pPr>
      <w:r w:rsidRPr="00A367C1">
        <w:t xml:space="preserve">Compound administration is often an integral component of an animal study. Many factors need to be evaluated to </w:t>
      </w:r>
      <w:r w:rsidR="00FA38E7">
        <w:t>en</w:t>
      </w:r>
      <w:r w:rsidRPr="00A367C1">
        <w:t xml:space="preserve">sure that the compound is delivered correctly. The route of administration affects the mechanisms of absorption. The characteristics of the substance to be introduced </w:t>
      </w:r>
      <w:r w:rsidR="005908F0">
        <w:t>(</w:t>
      </w:r>
      <w:r w:rsidRPr="00A367C1">
        <w:t>the p</w:t>
      </w:r>
      <w:r w:rsidR="005908F0">
        <w:t>H, viscosity, and concentration)</w:t>
      </w:r>
      <w:r w:rsidRPr="00A367C1">
        <w:t xml:space="preserve"> may di</w:t>
      </w:r>
      <w:r>
        <w:t xml:space="preserve">ctate which </w:t>
      </w:r>
      <w:r w:rsidR="00850974">
        <w:t>route</w:t>
      </w:r>
      <w:r w:rsidR="005908F0">
        <w:t xml:space="preserve"> of administration is selected</w:t>
      </w:r>
      <w:r w:rsidR="00850974">
        <w:t>.</w:t>
      </w:r>
      <w:r w:rsidR="00850974">
        <w:rPr>
          <w:vertAlign w:val="superscript"/>
        </w:rPr>
        <w:t>1</w:t>
      </w:r>
      <w:proofErr w:type="gramStart"/>
      <w:r w:rsidR="00850974">
        <w:rPr>
          <w:vertAlign w:val="superscript"/>
        </w:rPr>
        <w:t>,2,3</w:t>
      </w:r>
      <w:proofErr w:type="gramEnd"/>
    </w:p>
    <w:p w14:paraId="12BE8FCF" w14:textId="77777777" w:rsidR="00FA38E7" w:rsidRDefault="00FA38E7" w:rsidP="00A61505">
      <w:pPr>
        <w:spacing w:before="200"/>
        <w:contextualSpacing/>
        <w:rPr>
          <w:vertAlign w:val="superscript"/>
        </w:rPr>
      </w:pPr>
    </w:p>
    <w:p w14:paraId="2452A0C0" w14:textId="10EDAAC3" w:rsidR="00FA38E7" w:rsidRDefault="00FA38E7" w:rsidP="00A61505">
      <w:pPr>
        <w:spacing w:before="200"/>
        <w:contextualSpacing/>
        <w:rPr>
          <w:b/>
        </w:rPr>
      </w:pPr>
      <w:r w:rsidRPr="00A61505">
        <w:rPr>
          <w:b/>
        </w:rPr>
        <w:t>Principles</w:t>
      </w:r>
    </w:p>
    <w:p w14:paraId="339FC30E" w14:textId="77777777" w:rsidR="00FA38E7" w:rsidRPr="00A61505" w:rsidRDefault="00FA38E7" w:rsidP="00A61505">
      <w:pPr>
        <w:spacing w:before="200"/>
        <w:contextualSpacing/>
        <w:rPr>
          <w:b/>
        </w:rPr>
      </w:pPr>
    </w:p>
    <w:p w14:paraId="78433972" w14:textId="0D65C11E" w:rsidR="00A367C1" w:rsidRDefault="00A367C1" w:rsidP="00A61505">
      <w:pPr>
        <w:spacing w:before="200"/>
        <w:contextualSpacing/>
      </w:pPr>
      <w:r w:rsidRPr="00A367C1">
        <w:t>The two main administration routes are enteral</w:t>
      </w:r>
      <w:r w:rsidR="005908F0">
        <w:t xml:space="preserve"> (</w:t>
      </w:r>
      <w:r w:rsidRPr="00A367C1">
        <w:t>via the digestive tract</w:t>
      </w:r>
      <w:r w:rsidR="005908F0">
        <w:t>)</w:t>
      </w:r>
      <w:r w:rsidRPr="00A367C1">
        <w:t xml:space="preserve"> and parenteral</w:t>
      </w:r>
      <w:r w:rsidR="005908F0">
        <w:t xml:space="preserve"> (</w:t>
      </w:r>
      <w:r w:rsidRPr="00A367C1">
        <w:t>administered outside of the digestive tract</w:t>
      </w:r>
      <w:r w:rsidR="005908F0">
        <w:t>)</w:t>
      </w:r>
      <w:r w:rsidRPr="00A367C1">
        <w:t>. The choice of the administration route is primarily determined by the requirements of the study. The main advantage to parenteral dosing is that the compound is not subjected to hepatic metabolism</w:t>
      </w:r>
      <w:r w:rsidR="00FA38E7">
        <w:t>,</w:t>
      </w:r>
      <w:r w:rsidRPr="00A367C1">
        <w:t xml:space="preserve"> resulting in higher bioavailability. However, there are many experiment</w:t>
      </w:r>
      <w:r w:rsidR="00FA38E7">
        <w:t>al</w:t>
      </w:r>
      <w:r w:rsidRPr="00A367C1">
        <w:t xml:space="preserve"> protocols that require the compounds to be administered orally to better mimic the natural intake of a substance. The best route to utilize is determined by the properties of the test compound.</w:t>
      </w:r>
    </w:p>
    <w:p w14:paraId="629E659B" w14:textId="77777777" w:rsidR="00FA38E7" w:rsidRDefault="00FA38E7" w:rsidP="00A61505">
      <w:pPr>
        <w:spacing w:before="200"/>
        <w:contextualSpacing/>
      </w:pPr>
    </w:p>
    <w:p w14:paraId="45FFBAE2" w14:textId="224D1A5C" w:rsidR="00631646" w:rsidRDefault="00064270" w:rsidP="00A61505">
      <w:pPr>
        <w:spacing w:before="200"/>
        <w:contextualSpacing/>
      </w:pPr>
      <w:r>
        <w:t>Oral dosing is the most commonly used method of drug administration in humans. This is done with tablets, capsules, or liquid forms of medication. Tablets and capsule administration is impractical in rodents, so the common o</w:t>
      </w:r>
      <w:r w:rsidR="00172474">
        <w:t xml:space="preserve">ral dosing </w:t>
      </w:r>
      <w:r w:rsidR="00A94EE2">
        <w:t xml:space="preserve">for mice and rats </w:t>
      </w:r>
      <w:r>
        <w:t xml:space="preserve">is </w:t>
      </w:r>
      <w:r w:rsidR="00172474">
        <w:t xml:space="preserve">accomplished by </w:t>
      </w:r>
      <w:r w:rsidR="00FA38E7">
        <w:t xml:space="preserve">either </w:t>
      </w:r>
      <w:r w:rsidR="00172474">
        <w:t xml:space="preserve">dissolving the compound in drinking water, </w:t>
      </w:r>
      <w:r w:rsidR="00FA38E7">
        <w:t xml:space="preserve">using </w:t>
      </w:r>
      <w:r w:rsidR="00172474">
        <w:t>specialize</w:t>
      </w:r>
      <w:r w:rsidR="005908F0">
        <w:t>d</w:t>
      </w:r>
      <w:r w:rsidR="00172474">
        <w:t xml:space="preserve"> food that incorporates the test compound into the formula, or by</w:t>
      </w:r>
      <w:r w:rsidR="00C22374">
        <w:t xml:space="preserve"> placing the compound in treats. </w:t>
      </w:r>
      <w:r w:rsidR="006B2A98">
        <w:t>When dosing via drinking water, s</w:t>
      </w:r>
      <w:r w:rsidR="006B2A98" w:rsidRPr="006B2A98">
        <w:t>ucrose is often added to the water to enhance palatability. However, it should be finely balanced to encourage normal water intake and not excessive drinking because of the sugary taste.</w:t>
      </w:r>
      <w:r w:rsidR="006B2A98">
        <w:t xml:space="preserve"> </w:t>
      </w:r>
    </w:p>
    <w:p w14:paraId="71ACC525" w14:textId="77777777" w:rsidR="00FA38E7" w:rsidRDefault="00FA38E7" w:rsidP="00A61505">
      <w:pPr>
        <w:spacing w:before="200"/>
        <w:contextualSpacing/>
      </w:pPr>
    </w:p>
    <w:p w14:paraId="7EB13C4D" w14:textId="786B32DE" w:rsidR="00064270" w:rsidRDefault="00064270" w:rsidP="00A61505">
      <w:pPr>
        <w:spacing w:before="200"/>
        <w:contextualSpacing/>
        <w:rPr>
          <w:vertAlign w:val="superscript"/>
        </w:rPr>
      </w:pPr>
      <w:r>
        <w:t>Many studies have demonstrated th</w:t>
      </w:r>
      <w:r w:rsidR="00345F6C">
        <w:t>at</w:t>
      </w:r>
      <w:r>
        <w:t xml:space="preserve"> repeated oral gavage is stressful to both mice and rats.</w:t>
      </w:r>
      <w:r w:rsidR="00850974">
        <w:rPr>
          <w:vertAlign w:val="superscript"/>
        </w:rPr>
        <w:t>4</w:t>
      </w:r>
      <w:proofErr w:type="gramStart"/>
      <w:r w:rsidR="00850974">
        <w:rPr>
          <w:vertAlign w:val="superscript"/>
        </w:rPr>
        <w:t>,5</w:t>
      </w:r>
      <w:proofErr w:type="gramEnd"/>
      <w:r w:rsidR="00FA38E7">
        <w:t xml:space="preserve"> </w:t>
      </w:r>
      <w:r w:rsidR="00C22374">
        <w:t xml:space="preserve">It is also labor intensive for the animal care staff. </w:t>
      </w:r>
      <w:r>
        <w:t>There is commercially available feed that has commonly dosed compounds</w:t>
      </w:r>
      <w:r w:rsidR="00FA38E7">
        <w:rPr>
          <w:rFonts w:ascii="Calibri" w:hAnsi="Calibri"/>
        </w:rPr>
        <w:t>—</w:t>
      </w:r>
      <w:r>
        <w:t>such as fenbendazole</w:t>
      </w:r>
      <w:r w:rsidR="00FA38E7">
        <w:t>, which is</w:t>
      </w:r>
      <w:r>
        <w:t xml:space="preserve"> used to eliminate parasites in rodents</w:t>
      </w:r>
      <w:r w:rsidR="00FA38E7">
        <w:rPr>
          <w:rFonts w:ascii="Calibri" w:hAnsi="Calibri"/>
        </w:rPr>
        <w:t>—</w:t>
      </w:r>
      <w:r>
        <w:t>incorporated into it. Other comp</w:t>
      </w:r>
      <w:r w:rsidR="00C22374">
        <w:t xml:space="preserve">anies provide medicated </w:t>
      </w:r>
      <w:r>
        <w:t xml:space="preserve">treats that </w:t>
      </w:r>
      <w:r w:rsidR="00C22374">
        <w:t xml:space="preserve">contain </w:t>
      </w:r>
      <w:r>
        <w:t>anti-inflammatories</w:t>
      </w:r>
      <w:r w:rsidR="00C22374">
        <w:t xml:space="preserve">, analgesics, </w:t>
      </w:r>
      <w:proofErr w:type="spellStart"/>
      <w:r w:rsidR="00C22374">
        <w:t>anti</w:t>
      </w:r>
      <w:r w:rsidR="00631646">
        <w:t>parasitics</w:t>
      </w:r>
      <w:proofErr w:type="spellEnd"/>
      <w:r w:rsidR="00C22374">
        <w:t>,</w:t>
      </w:r>
      <w:r>
        <w:t xml:space="preserve"> </w:t>
      </w:r>
      <w:r w:rsidR="00C22374">
        <w:t>or antibiotics. Feed companies that manufacture the formulated diets for mice and rats will create specialized test diets to meet an experimental requirement. Many laboratories have formulated their own treats with the use of honey, peanut butter, or fr</w:t>
      </w:r>
      <w:r w:rsidR="006C0435">
        <w:t>uit-</w:t>
      </w:r>
      <w:r w:rsidR="00C22374">
        <w:t>flavored gelatin.</w:t>
      </w:r>
      <w:r w:rsidR="00850974">
        <w:rPr>
          <w:vertAlign w:val="superscript"/>
        </w:rPr>
        <w:t>4</w:t>
      </w:r>
      <w:proofErr w:type="gramStart"/>
      <w:r w:rsidR="00850974">
        <w:rPr>
          <w:vertAlign w:val="superscript"/>
        </w:rPr>
        <w:t>,5</w:t>
      </w:r>
      <w:proofErr w:type="gramEnd"/>
    </w:p>
    <w:p w14:paraId="0C14221E" w14:textId="77777777" w:rsidR="00FA38E7" w:rsidRPr="00850974" w:rsidRDefault="00FA38E7" w:rsidP="00A61505">
      <w:pPr>
        <w:spacing w:before="200"/>
        <w:contextualSpacing/>
        <w:rPr>
          <w:vertAlign w:val="superscript"/>
        </w:rPr>
      </w:pPr>
    </w:p>
    <w:p w14:paraId="70634BC2" w14:textId="56F1EC67" w:rsidR="00C22374" w:rsidRDefault="006C0435" w:rsidP="00A61505">
      <w:pPr>
        <w:spacing w:before="200"/>
        <w:contextualSpacing/>
      </w:pPr>
      <w:r>
        <w:t>Oral dosing lacks</w:t>
      </w:r>
      <w:r w:rsidRPr="00C22374">
        <w:t xml:space="preserve"> precision </w:t>
      </w:r>
      <w:r>
        <w:t>b</w:t>
      </w:r>
      <w:r w:rsidR="00C22374" w:rsidRPr="00C22374">
        <w:t xml:space="preserve">ecause the intake of </w:t>
      </w:r>
      <w:r w:rsidR="00FA38E7">
        <w:t xml:space="preserve">a </w:t>
      </w:r>
      <w:r w:rsidR="00C22374" w:rsidRPr="00C22374">
        <w:t xml:space="preserve">compound is dependent on the acceptance of the food or water, the stability of the compound, and the number of animals present in the cage. </w:t>
      </w:r>
      <w:r w:rsidR="00C22374">
        <w:t>However, if</w:t>
      </w:r>
      <w:r w:rsidR="00C22374" w:rsidRPr="00C22374">
        <w:t xml:space="preserve"> exact dosing is not critical to the experiment, this noninvasive method of dosing is best for the wellbeing of the animals.</w:t>
      </w:r>
    </w:p>
    <w:p w14:paraId="7B6D8E2B" w14:textId="77777777" w:rsidR="00FA38E7" w:rsidRDefault="00FA38E7" w:rsidP="00A61505">
      <w:pPr>
        <w:spacing w:before="200"/>
        <w:contextualSpacing/>
      </w:pPr>
    </w:p>
    <w:p w14:paraId="2C5E3FFF" w14:textId="1A070449" w:rsidR="006B2A98" w:rsidRDefault="00172474" w:rsidP="00A61505">
      <w:pPr>
        <w:spacing w:before="200"/>
        <w:contextualSpacing/>
      </w:pPr>
      <w:r>
        <w:lastRenderedPageBreak/>
        <w:t xml:space="preserve">Oral gavage is </w:t>
      </w:r>
      <w:r w:rsidR="006C0435">
        <w:t>a much</w:t>
      </w:r>
      <w:r w:rsidR="006B2A98">
        <w:t xml:space="preserve"> </w:t>
      </w:r>
      <w:r>
        <w:t xml:space="preserve">more precise </w:t>
      </w:r>
      <w:r w:rsidR="006B2A98">
        <w:t>method of enteral dosing</w:t>
      </w:r>
      <w:r w:rsidR="00FA38E7">
        <w:t>,</w:t>
      </w:r>
      <w:r w:rsidR="006B2A98">
        <w:t xml:space="preserve"> </w:t>
      </w:r>
      <w:r>
        <w:t xml:space="preserve">as it allows for the deposition of the compound directly into the stomach of the animal at a specific time and at a specified volume. However, training is required to </w:t>
      </w:r>
      <w:r w:rsidR="00FA38E7">
        <w:t>en</w:t>
      </w:r>
      <w:r>
        <w:t>sure success. Proper restrain</w:t>
      </w:r>
      <w:r w:rsidR="006C0435">
        <w:t>t</w:t>
      </w:r>
      <w:r>
        <w:t xml:space="preserve"> of the animal is crucial to the success of this technique. Injury to the oral cavity, pharynx, larynx, trachea, esophagus, and stomach can result from improper positioning of the head and the body. </w:t>
      </w:r>
      <w:r w:rsidR="006B2A98">
        <w:t>The animal must be tightly gripped</w:t>
      </w:r>
      <w:r w:rsidR="00FA38E7">
        <w:t>,</w:t>
      </w:r>
      <w:r w:rsidR="006B2A98">
        <w:t xml:space="preserve"> such that the head is unable to twist</w:t>
      </w:r>
      <w:r w:rsidR="00FA38E7">
        <w:t>,</w:t>
      </w:r>
      <w:r w:rsidR="006B2A98">
        <w:t xml:space="preserve"> to prevent such injuries. </w:t>
      </w:r>
    </w:p>
    <w:p w14:paraId="34F40D72" w14:textId="77777777" w:rsidR="00FA38E7" w:rsidRDefault="00FA38E7" w:rsidP="00A61505">
      <w:pPr>
        <w:spacing w:before="200"/>
        <w:contextualSpacing/>
      </w:pPr>
    </w:p>
    <w:p w14:paraId="36C9F07B" w14:textId="4562E553" w:rsidR="00172474" w:rsidRDefault="00FA38E7" w:rsidP="00A61505">
      <w:pPr>
        <w:spacing w:before="200"/>
        <w:contextualSpacing/>
      </w:pPr>
      <w:r>
        <w:t>D</w:t>
      </w:r>
      <w:r w:rsidR="00172474">
        <w:t xml:space="preserve">osing needles are available </w:t>
      </w:r>
      <w:r>
        <w:t xml:space="preserve">in </w:t>
      </w:r>
      <w:r w:rsidR="00172474">
        <w:t>reusable or disposa</w:t>
      </w:r>
      <w:r w:rsidR="004A53F6">
        <w:t>ble</w:t>
      </w:r>
      <w:r>
        <w:t xml:space="preserve"> formats</w:t>
      </w:r>
      <w:r w:rsidR="004A53F6">
        <w:t>. Though costly, the use of</w:t>
      </w:r>
      <w:r w:rsidR="00172474">
        <w:t xml:space="preserve"> disposable needles removes the threat of cross</w:t>
      </w:r>
      <w:r>
        <w:t xml:space="preserve"> </w:t>
      </w:r>
      <w:r w:rsidR="00172474">
        <w:t xml:space="preserve">contamination when dosing multiple animals. </w:t>
      </w:r>
      <w:r w:rsidR="006B2A98">
        <w:t>There are several sizes of gavage needles, ranging</w:t>
      </w:r>
      <w:r w:rsidR="00BA09F3">
        <w:t xml:space="preserve"> from 20</w:t>
      </w:r>
      <w:r>
        <w:rPr>
          <w:rFonts w:ascii="Calibri" w:hAnsi="Calibri"/>
        </w:rPr>
        <w:t>–</w:t>
      </w:r>
      <w:r w:rsidR="006B2A98">
        <w:t>22 gauge for mice</w:t>
      </w:r>
      <w:r w:rsidR="00BA09F3">
        <w:t xml:space="preserve"> and </w:t>
      </w:r>
      <w:r w:rsidR="00BA09F3" w:rsidRPr="00BA09F3">
        <w:t>18</w:t>
      </w:r>
      <w:r>
        <w:rPr>
          <w:rFonts w:ascii="Calibri" w:hAnsi="Calibri"/>
        </w:rPr>
        <w:t>–</w:t>
      </w:r>
      <w:r w:rsidR="00BA09F3" w:rsidRPr="00BA09F3">
        <w:t>20 gauge</w:t>
      </w:r>
      <w:r w:rsidR="00BA09F3">
        <w:t xml:space="preserve"> for rats. </w:t>
      </w:r>
      <w:r w:rsidR="006B2A98">
        <w:t>The choice of needle is determined by the size of the animal</w:t>
      </w:r>
      <w:r w:rsidR="00BA09F3">
        <w:t xml:space="preserve">, </w:t>
      </w:r>
      <w:r>
        <w:t xml:space="preserve">the </w:t>
      </w:r>
      <w:r w:rsidR="00BA09F3">
        <w:t>volume of liquid,</w:t>
      </w:r>
      <w:r w:rsidR="006B2A98">
        <w:t xml:space="preserve"> and the viscosity of the solution to be administered.</w:t>
      </w:r>
    </w:p>
    <w:p w14:paraId="11B491C7" w14:textId="77777777" w:rsidR="00FA38E7" w:rsidRDefault="00FA38E7" w:rsidP="00A61505">
      <w:pPr>
        <w:spacing w:before="200"/>
        <w:contextualSpacing/>
      </w:pPr>
    </w:p>
    <w:p w14:paraId="7C1B6629" w14:textId="098676B4" w:rsidR="006B2A98" w:rsidRDefault="006B2A98" w:rsidP="00A61505">
      <w:pPr>
        <w:spacing w:before="200"/>
        <w:contextualSpacing/>
      </w:pPr>
      <w:r w:rsidRPr="006B2A98">
        <w:t>Oral gava</w:t>
      </w:r>
      <w:r>
        <w:t>ging should be performed on a</w:t>
      </w:r>
      <w:r w:rsidRPr="006B2A98">
        <w:t xml:space="preserve"> conscious animal to decrease the possibility of placing the needle into the trachea. An animal that is conscious will retain the swallowing reflex as well as the gag reflex</w:t>
      </w:r>
      <w:r>
        <w:t xml:space="preserve">, facilitating the proper placement into the esophagus. </w:t>
      </w:r>
      <w:r w:rsidRPr="006B2A98">
        <w:t>A study was conduct</w:t>
      </w:r>
      <w:r w:rsidR="004A53F6">
        <w:t>ed</w:t>
      </w:r>
      <w:r w:rsidRPr="006B2A98">
        <w:t xml:space="preserve"> demonstrating that </w:t>
      </w:r>
      <w:proofErr w:type="spellStart"/>
      <w:r w:rsidRPr="006B2A98">
        <w:t>precoating</w:t>
      </w:r>
      <w:proofErr w:type="spellEnd"/>
      <w:r w:rsidRPr="006B2A98">
        <w:t xml:space="preserve"> the gavage needle with sucrose induced the swallowing reflex and </w:t>
      </w:r>
      <w:r w:rsidR="00FA38E7">
        <w:t xml:space="preserve">decreased </w:t>
      </w:r>
      <w:r w:rsidRPr="006B2A98">
        <w:t xml:space="preserve">the amount of time </w:t>
      </w:r>
      <w:r w:rsidR="00FA38E7">
        <w:t xml:space="preserve">needed </w:t>
      </w:r>
      <w:r w:rsidRPr="006B2A98">
        <w:t>to pass</w:t>
      </w:r>
      <w:r w:rsidR="00435E8E">
        <w:t xml:space="preserve"> the needle into the esophagus.</w:t>
      </w:r>
      <w:r w:rsidR="00435E8E" w:rsidRPr="00435E8E">
        <w:rPr>
          <w:vertAlign w:val="superscript"/>
        </w:rPr>
        <w:t>6</w:t>
      </w:r>
    </w:p>
    <w:p w14:paraId="00128C56" w14:textId="77777777" w:rsidR="00FA38E7" w:rsidRDefault="00FA38E7" w:rsidP="00A61505">
      <w:pPr>
        <w:spacing w:before="200"/>
        <w:contextualSpacing/>
      </w:pPr>
    </w:p>
    <w:p w14:paraId="422B3E09" w14:textId="4E1F17A2" w:rsidR="006D2DC0" w:rsidRDefault="006D2DC0" w:rsidP="00A61505">
      <w:pPr>
        <w:spacing w:before="200"/>
        <w:contextualSpacing/>
      </w:pPr>
      <w:r w:rsidRPr="006D2DC0">
        <w:t xml:space="preserve">A topical agent that is placed directly on the surface of the skin is generally intended to affect only the area to which it is applied. </w:t>
      </w:r>
      <w:r w:rsidR="00301BCA">
        <w:t>These</w:t>
      </w:r>
      <w:r w:rsidRPr="006D2DC0">
        <w:t xml:space="preserve"> can be creams, lotions, ointments, foams</w:t>
      </w:r>
      <w:r w:rsidR="004A53F6">
        <w:t>,</w:t>
      </w:r>
      <w:r w:rsidRPr="006D2DC0">
        <w:t xml:space="preserve"> or gels. </w:t>
      </w:r>
      <w:r w:rsidR="00FA38E7">
        <w:t xml:space="preserve">As </w:t>
      </w:r>
      <w:r w:rsidRPr="006D2DC0">
        <w:t xml:space="preserve">animals will tend </w:t>
      </w:r>
      <w:r w:rsidR="004A53F6">
        <w:t xml:space="preserve">to </w:t>
      </w:r>
      <w:r w:rsidRPr="006D2DC0">
        <w:t xml:space="preserve">groom the area where the agent is applied, the toxicity of oral consumption must be considered. </w:t>
      </w:r>
    </w:p>
    <w:p w14:paraId="0FF7C4F3" w14:textId="19DA9398" w:rsidR="006B2A98" w:rsidRDefault="006B2A98" w:rsidP="00A61505">
      <w:pPr>
        <w:spacing w:before="200"/>
        <w:contextualSpacing/>
      </w:pPr>
      <w:r>
        <w:t xml:space="preserve">Compounds administered </w:t>
      </w:r>
      <w:r w:rsidR="00EF4038">
        <w:t>topically</w:t>
      </w:r>
      <w:r>
        <w:t xml:space="preserve"> are formulated to </w:t>
      </w:r>
      <w:r w:rsidR="007576F8">
        <w:t>be absorbed through the dermis layers and the subcutaneous space via the hair follicles and the accessory glands. Factors that affect the absorption of the compounds include</w:t>
      </w:r>
      <w:r w:rsidR="004A53F6">
        <w:t xml:space="preserve"> </w:t>
      </w:r>
      <w:r w:rsidR="007576F8">
        <w:t xml:space="preserve">the condition of the skin, the surface area utilized, </w:t>
      </w:r>
      <w:r w:rsidR="00301BCA" w:rsidRPr="006D2DC0">
        <w:t xml:space="preserve">the concentration of the substance, </w:t>
      </w:r>
      <w:r w:rsidR="007576F8">
        <w:t>the lipid solubility of the compound, and the length of time</w:t>
      </w:r>
      <w:r w:rsidR="00EF4038">
        <w:t xml:space="preserve"> it is </w:t>
      </w:r>
      <w:r w:rsidR="004A53F6">
        <w:t xml:space="preserve">in </w:t>
      </w:r>
      <w:r w:rsidR="00EF4038">
        <w:t>contact with the skin surface. Well</w:t>
      </w:r>
      <w:r w:rsidR="00FA38E7">
        <w:t>-</w:t>
      </w:r>
      <w:r w:rsidR="00EF4038">
        <w:t xml:space="preserve">hydrated and thin skin layers will decrease the absorption time. </w:t>
      </w:r>
    </w:p>
    <w:p w14:paraId="43787AF9" w14:textId="77777777" w:rsidR="00FA38E7" w:rsidRDefault="00FA38E7" w:rsidP="00A61505">
      <w:pPr>
        <w:spacing w:before="200"/>
        <w:contextualSpacing/>
      </w:pPr>
    </w:p>
    <w:p w14:paraId="2F4B6469" w14:textId="334AB15D" w:rsidR="006B2A98" w:rsidRDefault="00EF4038" w:rsidP="00A61505">
      <w:pPr>
        <w:spacing w:before="200"/>
        <w:contextualSpacing/>
      </w:pPr>
      <w:r>
        <w:t>When applying a substance topically, there is the chance for systemic absorption due to the animal grooming the area. Preventative measures should be taken to avoid accident ingestion or early removal of the substance. Small collars or shields are available to prevent the animal f</w:t>
      </w:r>
      <w:r w:rsidR="004A53F6">
        <w:t>rom</w:t>
      </w:r>
      <w:r>
        <w:t xml:space="preserve"> reaching affected body parts</w:t>
      </w:r>
      <w:r w:rsidR="00E3660C">
        <w:t>. I</w:t>
      </w:r>
      <w:r w:rsidR="00BC76D3">
        <w:t>ndividual</w:t>
      </w:r>
      <w:r w:rsidR="00E3660C">
        <w:t xml:space="preserve"> housing may also be required to prevent allogrooming from</w:t>
      </w:r>
      <w:r w:rsidR="00BC76D3">
        <w:t xml:space="preserve"> </w:t>
      </w:r>
      <w:r w:rsidR="00E3660C">
        <w:t>cage mates</w:t>
      </w:r>
      <w:r w:rsidR="00BC76D3">
        <w:t xml:space="preserve">. </w:t>
      </w:r>
    </w:p>
    <w:p w14:paraId="11987FAB" w14:textId="77777777" w:rsidR="00FA38E7" w:rsidRDefault="00FA38E7" w:rsidP="00A61505">
      <w:pPr>
        <w:spacing w:before="200"/>
        <w:contextualSpacing/>
      </w:pPr>
    </w:p>
    <w:p w14:paraId="7A57EA94" w14:textId="715CFDB7" w:rsidR="00EF4038" w:rsidRDefault="00EF4038" w:rsidP="00172474">
      <w:pPr>
        <w:rPr>
          <w:b/>
        </w:rPr>
      </w:pPr>
      <w:r>
        <w:rPr>
          <w:b/>
        </w:rPr>
        <w:t>Procedures</w:t>
      </w:r>
    </w:p>
    <w:p w14:paraId="19CF3930" w14:textId="77777777" w:rsidR="006D2DC0" w:rsidRPr="006D2DC0" w:rsidRDefault="006D2DC0" w:rsidP="00A61505">
      <w:pPr>
        <w:pStyle w:val="ListParagraph"/>
        <w:numPr>
          <w:ilvl w:val="0"/>
          <w:numId w:val="1"/>
        </w:numPr>
        <w:ind w:left="360"/>
      </w:pPr>
      <w:r w:rsidRPr="006D2DC0">
        <w:t xml:space="preserve">Topical application places the compound directly onto the skin. </w:t>
      </w:r>
      <w:r w:rsidR="004A53F6">
        <w:br/>
      </w:r>
    </w:p>
    <w:p w14:paraId="3DD19F02" w14:textId="77777777" w:rsidR="004A53F6" w:rsidRDefault="004A53F6" w:rsidP="00A61505">
      <w:pPr>
        <w:pStyle w:val="ListParagraph"/>
        <w:numPr>
          <w:ilvl w:val="1"/>
          <w:numId w:val="1"/>
        </w:numPr>
        <w:ind w:left="1080" w:hanging="360"/>
      </w:pPr>
      <w:r>
        <w:t>Before applying any</w:t>
      </w:r>
      <w:r w:rsidR="00F92594">
        <w:t xml:space="preserve"> ointments and creams,</w:t>
      </w:r>
      <w:r>
        <w:t xml:space="preserve"> remove</w:t>
      </w:r>
      <w:r w:rsidR="00F92594">
        <w:t xml:space="preserve"> a</w:t>
      </w:r>
      <w:r w:rsidR="00EF4038">
        <w:t xml:space="preserve">ll fur from the area through the use </w:t>
      </w:r>
      <w:r>
        <w:t xml:space="preserve">of </w:t>
      </w:r>
      <w:r w:rsidR="00EF4038">
        <w:t>a depilatory cream or by shaving.</w:t>
      </w:r>
      <w:r w:rsidR="00C5271F">
        <w:t xml:space="preserve"> </w:t>
      </w:r>
      <w:r w:rsidR="00F92594">
        <w:t xml:space="preserve"> </w:t>
      </w:r>
      <w:r>
        <w:br/>
      </w:r>
    </w:p>
    <w:p w14:paraId="2DCDEEE3" w14:textId="77777777" w:rsidR="00F92594" w:rsidRDefault="004A53F6" w:rsidP="00A61505">
      <w:pPr>
        <w:pStyle w:val="ListParagraph"/>
        <w:numPr>
          <w:ilvl w:val="1"/>
          <w:numId w:val="1"/>
        </w:numPr>
        <w:ind w:left="1080" w:hanging="360"/>
      </w:pPr>
      <w:r>
        <w:t>T</w:t>
      </w:r>
      <w:r w:rsidR="00F92594" w:rsidRPr="00F92594">
        <w:t>horoughly clean and dr</w:t>
      </w:r>
      <w:r>
        <w:t>y the skin</w:t>
      </w:r>
      <w:r w:rsidR="00F92594" w:rsidRPr="00F92594">
        <w:t>.</w:t>
      </w:r>
      <w:r>
        <w:br/>
      </w:r>
    </w:p>
    <w:p w14:paraId="5052482A" w14:textId="7A31D305" w:rsidR="00F92594" w:rsidRPr="00F92594" w:rsidRDefault="004A53F6" w:rsidP="00A61505">
      <w:pPr>
        <w:pStyle w:val="ListParagraph"/>
        <w:numPr>
          <w:ilvl w:val="1"/>
          <w:numId w:val="1"/>
        </w:numPr>
        <w:ind w:left="1080" w:hanging="360"/>
      </w:pPr>
      <w:r>
        <w:lastRenderedPageBreak/>
        <w:t>Apply t</w:t>
      </w:r>
      <w:r w:rsidR="00F92594" w:rsidRPr="00F92594">
        <w:t>he substance directly to the skin with a cotton</w:t>
      </w:r>
      <w:r w:rsidR="00FA38E7">
        <w:t>-</w:t>
      </w:r>
      <w:r w:rsidR="00F92594" w:rsidRPr="00F92594">
        <w:t>tip</w:t>
      </w:r>
      <w:r w:rsidR="00FA38E7">
        <w:t>ped</w:t>
      </w:r>
      <w:r w:rsidR="00F92594" w:rsidRPr="00F92594">
        <w:t xml:space="preserve"> applicat</w:t>
      </w:r>
      <w:r w:rsidR="00FA38E7">
        <w:t>or</w:t>
      </w:r>
      <w:r w:rsidR="00F92594" w:rsidRPr="00F92594">
        <w:t xml:space="preserve"> or via a </w:t>
      </w:r>
      <w:proofErr w:type="gramStart"/>
      <w:r>
        <w:t>directly</w:t>
      </w:r>
      <w:r w:rsidR="00FA38E7">
        <w:t>-</w:t>
      </w:r>
      <w:r>
        <w:t>placed</w:t>
      </w:r>
      <w:proofErr w:type="gramEnd"/>
      <w:r>
        <w:t xml:space="preserve"> drop</w:t>
      </w:r>
      <w:r w:rsidR="00F92594" w:rsidRPr="00F92594">
        <w:t xml:space="preserve"> to avoid contact by the technician. </w:t>
      </w:r>
      <w:r>
        <w:br/>
      </w:r>
    </w:p>
    <w:p w14:paraId="7FA75AF4" w14:textId="77777777" w:rsidR="00E9435E" w:rsidRDefault="00E9435E" w:rsidP="00A61505">
      <w:pPr>
        <w:pStyle w:val="ListParagraph"/>
        <w:numPr>
          <w:ilvl w:val="1"/>
          <w:numId w:val="1"/>
        </w:numPr>
        <w:ind w:left="1080" w:hanging="360"/>
      </w:pPr>
      <w:r>
        <w:t xml:space="preserve">For best results, </w:t>
      </w:r>
      <w:r w:rsidR="004A53F6">
        <w:t xml:space="preserve">apply several </w:t>
      </w:r>
      <w:r>
        <w:t xml:space="preserve">thin layers of ointment or cream </w:t>
      </w:r>
      <w:r w:rsidR="004A53F6">
        <w:t>opposed to</w:t>
      </w:r>
      <w:r>
        <w:t xml:space="preserve"> a onetime application of a thick layer. </w:t>
      </w:r>
      <w:r w:rsidR="004A53F6">
        <w:br/>
      </w:r>
    </w:p>
    <w:p w14:paraId="525951D4" w14:textId="77777777" w:rsidR="00F92594" w:rsidRDefault="004A53F6" w:rsidP="00A61505">
      <w:pPr>
        <w:pStyle w:val="ListParagraph"/>
        <w:numPr>
          <w:ilvl w:val="1"/>
          <w:numId w:val="1"/>
        </w:numPr>
        <w:ind w:left="1080" w:hanging="360"/>
      </w:pPr>
      <w:r>
        <w:t>Apply l</w:t>
      </w:r>
      <w:r w:rsidR="00F92594" w:rsidRPr="00F92594">
        <w:t>iquid by parting the hair and applying a drop on the exposed skin.</w:t>
      </w:r>
    </w:p>
    <w:p w14:paraId="74DCB5C3" w14:textId="77777777" w:rsidR="00ED4F3D" w:rsidRDefault="00ED4F3D" w:rsidP="00A61505">
      <w:pPr>
        <w:pStyle w:val="ListParagraph"/>
        <w:ind w:left="1080" w:hanging="360"/>
      </w:pPr>
    </w:p>
    <w:p w14:paraId="6A06A5F5" w14:textId="1F106C66" w:rsidR="00ED4F3D" w:rsidRDefault="00ED4F3D" w:rsidP="00A61505">
      <w:pPr>
        <w:pStyle w:val="ListParagraph"/>
        <w:numPr>
          <w:ilvl w:val="1"/>
          <w:numId w:val="1"/>
        </w:numPr>
        <w:ind w:left="1080" w:hanging="360"/>
      </w:pPr>
      <w:r w:rsidRPr="00ED4F3D">
        <w:t xml:space="preserve">When applying a substance topically, there is </w:t>
      </w:r>
      <w:r w:rsidR="00FA38E7">
        <w:t xml:space="preserve">a </w:t>
      </w:r>
      <w:r w:rsidRPr="00ED4F3D">
        <w:t xml:space="preserve">chance </w:t>
      </w:r>
      <w:r w:rsidR="00FA38E7">
        <w:t>of</w:t>
      </w:r>
      <w:r w:rsidRPr="00ED4F3D">
        <w:t xml:space="preserve"> systemic absorption due to the animal grooming the area. Preventative measures should be taken to avoid accident ingestion or early removal of the substance. Small collars or shields are available to prevent the animal from reaching affected body parts. Individual housing may also be required to prevent allogrooming from cage mates.</w:t>
      </w:r>
    </w:p>
    <w:p w14:paraId="47A5105A" w14:textId="6150CCA4" w:rsidR="00F92594" w:rsidRPr="00433494" w:rsidRDefault="00433494" w:rsidP="00433494">
      <w:pPr>
        <w:rPr>
          <w:b/>
        </w:rPr>
      </w:pPr>
      <w:r w:rsidRPr="00433494">
        <w:rPr>
          <w:b/>
        </w:rPr>
        <w:t xml:space="preserve">Figure 1. </w:t>
      </w:r>
      <w:proofErr w:type="gramStart"/>
      <w:r w:rsidRPr="00433494">
        <w:rPr>
          <w:b/>
        </w:rPr>
        <w:t>Topical application in mice.</w:t>
      </w:r>
      <w:proofErr w:type="gramEnd"/>
      <w:r w:rsidRPr="00433494">
        <w:rPr>
          <w:b/>
        </w:rPr>
        <w:t xml:space="preserve"> </w:t>
      </w:r>
    </w:p>
    <w:p w14:paraId="4B92835E" w14:textId="4F4F26B8" w:rsidR="00361679" w:rsidRDefault="0070697A" w:rsidP="00A61505">
      <w:pPr>
        <w:pStyle w:val="ListParagraph"/>
        <w:numPr>
          <w:ilvl w:val="0"/>
          <w:numId w:val="1"/>
        </w:numPr>
        <w:ind w:left="360"/>
      </w:pPr>
      <w:r>
        <w:t>Oral dosing</w:t>
      </w:r>
      <w:r w:rsidR="00672860">
        <w:t xml:space="preserve"> </w:t>
      </w:r>
      <w:r w:rsidR="00B41C12">
        <w:br/>
      </w:r>
    </w:p>
    <w:p w14:paraId="1B168FED" w14:textId="50D0342B" w:rsidR="00D32507" w:rsidRDefault="00361679" w:rsidP="00A61505">
      <w:pPr>
        <w:pStyle w:val="ListParagraph"/>
        <w:numPr>
          <w:ilvl w:val="1"/>
          <w:numId w:val="1"/>
        </w:numPr>
        <w:ind w:left="1080" w:hanging="360"/>
      </w:pPr>
      <w:r>
        <w:t xml:space="preserve">When providing compounds to animals via feed or water, a minimum daily dose based on body weight must be calculated. The average weight of the mouse or rat strain being used in the </w:t>
      </w:r>
      <w:r w:rsidR="00E3660C">
        <w:t>experiment can</w:t>
      </w:r>
      <w:r>
        <w:t xml:space="preserve"> be used to make the calculations, unless</w:t>
      </w:r>
      <w:r w:rsidR="00B41C12">
        <w:t xml:space="preserve"> it is</w:t>
      </w:r>
      <w:r>
        <w:t xml:space="preserve"> </w:t>
      </w:r>
      <w:r w:rsidR="00E3660C">
        <w:t>specified</w:t>
      </w:r>
      <w:r>
        <w:t xml:space="preserve"> </w:t>
      </w:r>
      <w:r w:rsidR="00E3660C">
        <w:t>that each animal be weighed and the dose figured for each individual.</w:t>
      </w:r>
      <w:r w:rsidR="00B41C12">
        <w:br/>
      </w:r>
    </w:p>
    <w:p w14:paraId="22711A79" w14:textId="682A1CBC" w:rsidR="0070697A" w:rsidRDefault="00D32507" w:rsidP="00A61505">
      <w:pPr>
        <w:pStyle w:val="ListParagraph"/>
        <w:numPr>
          <w:ilvl w:val="1"/>
          <w:numId w:val="1"/>
        </w:numPr>
        <w:ind w:left="1080" w:hanging="360"/>
      </w:pPr>
      <w:r>
        <w:t xml:space="preserve">For protocols that require that food and/or water intake be precisely measured, animals </w:t>
      </w:r>
      <w:r w:rsidR="009071F4">
        <w:t>need to</w:t>
      </w:r>
      <w:r>
        <w:t xml:space="preserve"> be housed individually. </w:t>
      </w:r>
    </w:p>
    <w:p w14:paraId="4DE91F97" w14:textId="77777777" w:rsidR="00276914" w:rsidRDefault="00276914" w:rsidP="00A61505">
      <w:pPr>
        <w:pStyle w:val="ListParagraph"/>
        <w:ind w:left="1080" w:hanging="360"/>
      </w:pPr>
    </w:p>
    <w:p w14:paraId="68115C43" w14:textId="77777777" w:rsidR="0070697A" w:rsidRDefault="0070697A" w:rsidP="00A61505">
      <w:pPr>
        <w:pStyle w:val="ListParagraph"/>
        <w:numPr>
          <w:ilvl w:val="1"/>
          <w:numId w:val="1"/>
        </w:numPr>
        <w:ind w:left="1080" w:hanging="360"/>
      </w:pPr>
      <w:r>
        <w:t>Specialized</w:t>
      </w:r>
      <w:r w:rsidR="00E9435E">
        <w:t xml:space="preserve"> </w:t>
      </w:r>
      <w:r w:rsidR="00F92594">
        <w:t xml:space="preserve">feed or treats </w:t>
      </w:r>
      <w:r>
        <w:t xml:space="preserve">can be </w:t>
      </w:r>
      <w:r w:rsidR="00C5271F">
        <w:t xml:space="preserve">manufactured to meet experimental needs. </w:t>
      </w:r>
      <w:r w:rsidR="004A53F6">
        <w:br/>
      </w:r>
    </w:p>
    <w:p w14:paraId="7D0D5B0A" w14:textId="77777777" w:rsidR="0070697A" w:rsidRDefault="00F92594" w:rsidP="0070697A">
      <w:pPr>
        <w:pStyle w:val="ListParagraph"/>
        <w:numPr>
          <w:ilvl w:val="2"/>
          <w:numId w:val="1"/>
        </w:numPr>
      </w:pPr>
      <w:r>
        <w:t>Replac</w:t>
      </w:r>
      <w:r w:rsidR="00ED0898">
        <w:t>e</w:t>
      </w:r>
      <w:r>
        <w:t xml:space="preserve"> the standard diet with the formulated one</w:t>
      </w:r>
      <w:r w:rsidR="00ED0898">
        <w:t xml:space="preserve">, which </w:t>
      </w:r>
      <w:r>
        <w:t>allow</w:t>
      </w:r>
      <w:r w:rsidR="00ED0898">
        <w:t>s</w:t>
      </w:r>
      <w:r>
        <w:t xml:space="preserve"> the animals to ingest the compound </w:t>
      </w:r>
      <w:r w:rsidR="0070697A">
        <w:t>throughout the day</w:t>
      </w:r>
      <w:r>
        <w:t xml:space="preserve">. </w:t>
      </w:r>
      <w:r w:rsidR="004A53F6">
        <w:br/>
      </w:r>
    </w:p>
    <w:p w14:paraId="046A93A2" w14:textId="77777777" w:rsidR="0070697A" w:rsidRDefault="00F92594" w:rsidP="0070697A">
      <w:pPr>
        <w:pStyle w:val="ListParagraph"/>
        <w:numPr>
          <w:ilvl w:val="2"/>
          <w:numId w:val="1"/>
        </w:numPr>
      </w:pPr>
      <w:r>
        <w:t>The food may need to be replaced more frequently than standard fo</w:t>
      </w:r>
      <w:r w:rsidR="0070697A">
        <w:t>od due to compound instability.</w:t>
      </w:r>
      <w:r w:rsidR="004A53F6">
        <w:br/>
      </w:r>
    </w:p>
    <w:p w14:paraId="07AE7137" w14:textId="347C9DC2" w:rsidR="00543AF4" w:rsidRDefault="00543AF4" w:rsidP="00A61505">
      <w:pPr>
        <w:pStyle w:val="ListParagraph"/>
        <w:numPr>
          <w:ilvl w:val="1"/>
          <w:numId w:val="1"/>
        </w:numPr>
        <w:ind w:left="1080" w:hanging="360"/>
      </w:pPr>
      <w:r>
        <w:t>Substances may also be administered by dissol</w:t>
      </w:r>
      <w:r w:rsidR="0070697A">
        <w:t xml:space="preserve">ving </w:t>
      </w:r>
      <w:r w:rsidR="00DA485C">
        <w:t>them</w:t>
      </w:r>
      <w:r w:rsidR="0070697A">
        <w:t xml:space="preserve"> in the drinking water, al</w:t>
      </w:r>
      <w:r>
        <w:t>low</w:t>
      </w:r>
      <w:r w:rsidR="0070697A">
        <w:t>ing</w:t>
      </w:r>
      <w:r>
        <w:t xml:space="preserve"> for the animals to receive </w:t>
      </w:r>
      <w:r w:rsidR="00DA485C">
        <w:t xml:space="preserve">a </w:t>
      </w:r>
      <w:r>
        <w:t>compound throughout the day</w:t>
      </w:r>
    </w:p>
    <w:p w14:paraId="036DCCAF" w14:textId="77777777" w:rsidR="00276914" w:rsidRDefault="00276914" w:rsidP="00276914">
      <w:pPr>
        <w:pStyle w:val="ListParagraph"/>
        <w:ind w:left="1440"/>
      </w:pPr>
    </w:p>
    <w:p w14:paraId="4A3A09C5" w14:textId="77777777" w:rsidR="0070697A" w:rsidRDefault="0070697A" w:rsidP="0070697A">
      <w:pPr>
        <w:pStyle w:val="ListParagraph"/>
        <w:numPr>
          <w:ilvl w:val="2"/>
          <w:numId w:val="1"/>
        </w:numPr>
      </w:pPr>
      <w:r>
        <w:t xml:space="preserve">A small amount of sugar </w:t>
      </w:r>
      <w:r w:rsidR="00ED0898">
        <w:t>is</w:t>
      </w:r>
      <w:r>
        <w:t xml:space="preserve"> added to the water to make it palatable. The exact amount to add is determined by the acceptance of </w:t>
      </w:r>
      <w:r w:rsidR="00ED0898">
        <w:t>the water by the mice</w:t>
      </w:r>
      <w:r>
        <w:t>. Use the smallest increment possible.</w:t>
      </w:r>
      <w:r w:rsidR="004A53F6">
        <w:br/>
      </w:r>
    </w:p>
    <w:p w14:paraId="2F95ACA6" w14:textId="4DA81646" w:rsidR="0070697A" w:rsidRDefault="00DA485C" w:rsidP="0070697A">
      <w:pPr>
        <w:pStyle w:val="ListParagraph"/>
        <w:numPr>
          <w:ilvl w:val="2"/>
          <w:numId w:val="1"/>
        </w:numPr>
      </w:pPr>
      <w:r>
        <w:t>The f</w:t>
      </w:r>
      <w:r w:rsidR="0070697A">
        <w:t>requency of changing the water is dependent o</w:t>
      </w:r>
      <w:r>
        <w:t>n</w:t>
      </w:r>
      <w:r w:rsidR="0070697A">
        <w:t xml:space="preserve"> the stability of the compound. Some substances may be </w:t>
      </w:r>
      <w:proofErr w:type="gramStart"/>
      <w:r w:rsidR="0070697A">
        <w:t>light</w:t>
      </w:r>
      <w:r>
        <w:t>-</w:t>
      </w:r>
      <w:r w:rsidR="0070697A">
        <w:t>sensitive</w:t>
      </w:r>
      <w:proofErr w:type="gramEnd"/>
      <w:r w:rsidR="0070697A">
        <w:t xml:space="preserve"> or</w:t>
      </w:r>
      <w:r>
        <w:t xml:space="preserve"> </w:t>
      </w:r>
      <w:r w:rsidR="0070697A">
        <w:t>precipitate over time.</w:t>
      </w:r>
    </w:p>
    <w:p w14:paraId="1C0D2D3B" w14:textId="77777777" w:rsidR="00F92594" w:rsidRDefault="00F92594" w:rsidP="00F92594">
      <w:pPr>
        <w:pStyle w:val="ListParagraph"/>
      </w:pPr>
    </w:p>
    <w:p w14:paraId="408CEA81" w14:textId="74912E7F" w:rsidR="00E9435E" w:rsidRDefault="0085440D" w:rsidP="00A61505">
      <w:pPr>
        <w:pStyle w:val="ListParagraph"/>
        <w:numPr>
          <w:ilvl w:val="0"/>
          <w:numId w:val="1"/>
        </w:numPr>
        <w:ind w:left="360"/>
      </w:pPr>
      <w:r>
        <w:t>Gavage procedures</w:t>
      </w:r>
      <w:r w:rsidR="00DA485C">
        <w:t xml:space="preserve">: </w:t>
      </w:r>
      <w:r w:rsidR="00ED0898">
        <w:t>20</w:t>
      </w:r>
      <w:r w:rsidR="00DA485C">
        <w:rPr>
          <w:rFonts w:ascii="Calibri" w:hAnsi="Calibri"/>
        </w:rPr>
        <w:t>–</w:t>
      </w:r>
      <w:r w:rsidR="00ED0898">
        <w:t>25</w:t>
      </w:r>
      <w:r>
        <w:t xml:space="preserve"> </w:t>
      </w:r>
      <w:r w:rsidR="00172474">
        <w:t xml:space="preserve">gauge x 1.5 in straight or curved dosing needles </w:t>
      </w:r>
      <w:proofErr w:type="gramStart"/>
      <w:r w:rsidR="00172474">
        <w:t>are</w:t>
      </w:r>
      <w:proofErr w:type="gramEnd"/>
      <w:r w:rsidR="00172474">
        <w:t xml:space="preserve"> used</w:t>
      </w:r>
      <w:r>
        <w:t xml:space="preserve"> for mice</w:t>
      </w:r>
      <w:r w:rsidR="00172474">
        <w:t xml:space="preserve">. </w:t>
      </w:r>
      <w:r>
        <w:t xml:space="preserve"> For rats, </w:t>
      </w:r>
      <w:r w:rsidRPr="0085440D">
        <w:t>18</w:t>
      </w:r>
      <w:r w:rsidR="00DA485C">
        <w:rPr>
          <w:rFonts w:ascii="Calibri" w:hAnsi="Calibri"/>
        </w:rPr>
        <w:t>–</w:t>
      </w:r>
      <w:r w:rsidRPr="0085440D">
        <w:t xml:space="preserve">20 </w:t>
      </w:r>
      <w:proofErr w:type="gramStart"/>
      <w:r w:rsidRPr="0085440D">
        <w:t>gauge</w:t>
      </w:r>
      <w:proofErr w:type="gramEnd"/>
      <w:r w:rsidRPr="0085440D">
        <w:t xml:space="preserve"> x 2</w:t>
      </w:r>
      <w:r w:rsidR="00DA485C">
        <w:rPr>
          <w:rFonts w:ascii="Calibri" w:hAnsi="Calibri"/>
        </w:rPr>
        <w:t>–</w:t>
      </w:r>
      <w:r w:rsidRPr="0085440D">
        <w:t>3 in</w:t>
      </w:r>
      <w:r w:rsidR="00DA485C">
        <w:t xml:space="preserve"> </w:t>
      </w:r>
      <w:r w:rsidRPr="0085440D">
        <w:t>straight or curved dosing needles are used</w:t>
      </w:r>
      <w:r>
        <w:t>.</w:t>
      </w:r>
      <w:r w:rsidRPr="0085440D">
        <w:t xml:space="preserve"> </w:t>
      </w:r>
      <w:r w:rsidR="00172474">
        <w:t>These are available as reusable stainless steel needle</w:t>
      </w:r>
      <w:r w:rsidR="00DA485C">
        <w:t>s</w:t>
      </w:r>
      <w:r w:rsidR="00172474">
        <w:t xml:space="preserve"> or </w:t>
      </w:r>
      <w:proofErr w:type="gramStart"/>
      <w:r w:rsidR="00172474">
        <w:t>as a disposable needle</w:t>
      </w:r>
      <w:r w:rsidR="00DA485C">
        <w:t>s</w:t>
      </w:r>
      <w:proofErr w:type="gramEnd"/>
      <w:r w:rsidR="00172474">
        <w:t>. The disposable needles can have a metal or flexible plastic shaft with a silicone tip.</w:t>
      </w:r>
      <w:r w:rsidR="00ED0898">
        <w:br/>
      </w:r>
    </w:p>
    <w:p w14:paraId="790D27EF" w14:textId="630E0476" w:rsidR="00E9435E" w:rsidRDefault="00ED0898" w:rsidP="00A61505">
      <w:pPr>
        <w:pStyle w:val="ListParagraph"/>
        <w:numPr>
          <w:ilvl w:val="1"/>
          <w:numId w:val="1"/>
        </w:numPr>
        <w:ind w:left="1080" w:hanging="360"/>
      </w:pPr>
      <w:r>
        <w:t xml:space="preserve">Attach the dosing needle </w:t>
      </w:r>
      <w:r w:rsidR="00172474">
        <w:t>to a syringe selected based on</w:t>
      </w:r>
      <w:r>
        <w:t xml:space="preserve"> the</w:t>
      </w:r>
      <w:r w:rsidR="00172474">
        <w:t xml:space="preserve"> volume and viscosity of the test soluti</w:t>
      </w:r>
      <w:r>
        <w:t>on. For dosing thick liquids</w:t>
      </w:r>
      <w:r w:rsidR="00DA485C">
        <w:t>,</w:t>
      </w:r>
      <w:r>
        <w:t xml:space="preserve"> a L</w:t>
      </w:r>
      <w:r w:rsidR="00172474">
        <w:t>uer lock syringe is preferred. These are generally avail</w:t>
      </w:r>
      <w:r w:rsidR="00836C3A">
        <w:t>able beginning with a 3 cc size</w:t>
      </w:r>
      <w:r w:rsidR="00172474">
        <w:t xml:space="preserve"> that has 100 </w:t>
      </w:r>
      <w:r w:rsidR="00DA485C">
        <w:rPr>
          <w:rFonts w:ascii="Calibri" w:hAnsi="Calibri"/>
        </w:rPr>
        <w:t>µ</w:t>
      </w:r>
      <w:r>
        <w:t>l</w:t>
      </w:r>
      <w:r w:rsidR="00172474">
        <w:t xml:space="preserve"> graduations. This may not be suitable for smaller volumes or when there is a need for exact</w:t>
      </w:r>
      <w:r w:rsidR="00DA485C">
        <w:t>-</w:t>
      </w:r>
      <w:r w:rsidR="00172474">
        <w:t xml:space="preserve">dose volumes at smaller increments. </w:t>
      </w:r>
      <w:r>
        <w:br/>
      </w:r>
    </w:p>
    <w:p w14:paraId="08C1EA33" w14:textId="37C528E8" w:rsidR="00E9435E" w:rsidRDefault="00ED0898" w:rsidP="00A61505">
      <w:pPr>
        <w:pStyle w:val="ListParagraph"/>
        <w:numPr>
          <w:ilvl w:val="1"/>
          <w:numId w:val="1"/>
        </w:numPr>
        <w:ind w:left="1080" w:hanging="360"/>
      </w:pPr>
      <w:r>
        <w:t>Affix t</w:t>
      </w:r>
      <w:r w:rsidR="00172474">
        <w:t>he syringe to the needle such that the graduations on the barrel can be read without turning the needle. Once the needle has been placed into the esophagus</w:t>
      </w:r>
      <w:r w:rsidR="00DA485C">
        <w:t>,</w:t>
      </w:r>
      <w:r w:rsidR="00172474">
        <w:t xml:space="preserve"> any rotation can rupture the esophagus</w:t>
      </w:r>
      <w:r w:rsidR="00C431B9">
        <w:t>,</w:t>
      </w:r>
      <w:r w:rsidR="00172474">
        <w:t xml:space="preserve"> resulting in death of the animal.</w:t>
      </w:r>
      <w:r>
        <w:br/>
      </w:r>
    </w:p>
    <w:p w14:paraId="12424913" w14:textId="253FF1B5" w:rsidR="0085440D" w:rsidRPr="0085440D" w:rsidRDefault="00172474" w:rsidP="00A61505">
      <w:pPr>
        <w:pStyle w:val="ListParagraph"/>
        <w:numPr>
          <w:ilvl w:val="1"/>
          <w:numId w:val="1"/>
        </w:numPr>
        <w:ind w:left="1080" w:hanging="360"/>
      </w:pPr>
      <w:r>
        <w:t xml:space="preserve">Fill a syringe with the appropriate volume of article to be administered. The maximum volume to be administered is 1 </w:t>
      </w:r>
      <w:r w:rsidR="00ED0898">
        <w:t>ml</w:t>
      </w:r>
      <w:r>
        <w:t xml:space="preserve"> in a large adult mouse (over 40 g). </w:t>
      </w:r>
      <w:r w:rsidR="00BA09F3">
        <w:t>For a large adult rat (over 300 g) t</w:t>
      </w:r>
      <w:r w:rsidR="0085440D" w:rsidRPr="0085440D">
        <w:t>he maximum volume to be administered is 2 m</w:t>
      </w:r>
      <w:r w:rsidR="00ED0898">
        <w:t>l</w:t>
      </w:r>
      <w:r w:rsidR="0085440D">
        <w:t>. The</w:t>
      </w:r>
      <w:r w:rsidR="0085440D" w:rsidRPr="0085440D">
        <w:t>s</w:t>
      </w:r>
      <w:r w:rsidR="0085440D">
        <w:t>e</w:t>
      </w:r>
      <w:r w:rsidR="0085440D" w:rsidRPr="0085440D">
        <w:t xml:space="preserve"> volume</w:t>
      </w:r>
      <w:r w:rsidR="0085440D">
        <w:t>s</w:t>
      </w:r>
      <w:r w:rsidR="0085440D" w:rsidRPr="0085440D">
        <w:t xml:space="preserve"> may be less in </w:t>
      </w:r>
      <w:r w:rsidR="0085440D">
        <w:t xml:space="preserve">animals </w:t>
      </w:r>
      <w:r w:rsidR="0085440D" w:rsidRPr="0085440D">
        <w:t xml:space="preserve">that have just eaten or in juvenile animals.  </w:t>
      </w:r>
      <w:r w:rsidR="00ED0898">
        <w:br/>
      </w:r>
    </w:p>
    <w:p w14:paraId="13FA0744" w14:textId="2BCE05A0" w:rsidR="00BA09F3" w:rsidRDefault="00172474" w:rsidP="00A61505">
      <w:pPr>
        <w:pStyle w:val="ListParagraph"/>
        <w:numPr>
          <w:ilvl w:val="1"/>
          <w:numId w:val="1"/>
        </w:numPr>
        <w:ind w:left="1080" w:hanging="360"/>
      </w:pPr>
      <w:r>
        <w:t>The proper restraint is essential for this procedure.</w:t>
      </w:r>
      <w:r w:rsidR="00850974">
        <w:rPr>
          <w:vertAlign w:val="superscript"/>
        </w:rPr>
        <w:t>7</w:t>
      </w:r>
      <w:r w:rsidR="00ED0898">
        <w:rPr>
          <w:vertAlign w:val="superscript"/>
        </w:rPr>
        <w:br/>
      </w:r>
    </w:p>
    <w:p w14:paraId="79F5795E" w14:textId="24E7D0FA" w:rsidR="00B666BC" w:rsidRDefault="00B666BC" w:rsidP="00BA09F3">
      <w:pPr>
        <w:pStyle w:val="ListParagraph"/>
        <w:numPr>
          <w:ilvl w:val="2"/>
          <w:numId w:val="1"/>
        </w:numPr>
      </w:pPr>
      <w:r>
        <w:t>M</w:t>
      </w:r>
      <w:r w:rsidR="00172474">
        <w:t>anually restrain</w:t>
      </w:r>
      <w:r>
        <w:t xml:space="preserve"> mice</w:t>
      </w:r>
      <w:r w:rsidR="00172474">
        <w:t xml:space="preserve"> by grasping the skin at the base of the head</w:t>
      </w:r>
      <w:r w:rsidR="00C431B9">
        <w:t xml:space="preserve"> and </w:t>
      </w:r>
      <w:r w:rsidR="00172474">
        <w:t xml:space="preserve">scruffing them. It is important that the body be held such that it is suspended in a straight line from the head to the tail. Any twisting of the body will impede the placement of the gavage needle into the esophagus. </w:t>
      </w:r>
      <w:r>
        <w:br/>
      </w:r>
    </w:p>
    <w:p w14:paraId="593DF7CB" w14:textId="77777777" w:rsidR="00BA09F3" w:rsidRDefault="00172474" w:rsidP="00BA09F3">
      <w:pPr>
        <w:pStyle w:val="ListParagraph"/>
        <w:numPr>
          <w:ilvl w:val="2"/>
          <w:numId w:val="1"/>
        </w:numPr>
      </w:pPr>
      <w:r>
        <w:t>Grasp the scruff tightly so</w:t>
      </w:r>
      <w:r w:rsidR="00B666BC">
        <w:t xml:space="preserve"> that the head has minimal side-to-</w:t>
      </w:r>
      <w:r>
        <w:t>side movement. The hindquarters must be stabilized to prevent body rotation.</w:t>
      </w:r>
      <w:r w:rsidR="00B666BC">
        <w:br/>
      </w:r>
    </w:p>
    <w:p w14:paraId="39580F46" w14:textId="42108E61" w:rsidR="00BA09F3" w:rsidRDefault="00BA09F3" w:rsidP="00BA09F3">
      <w:pPr>
        <w:pStyle w:val="ListParagraph"/>
        <w:numPr>
          <w:ilvl w:val="2"/>
          <w:numId w:val="1"/>
        </w:numPr>
      </w:pPr>
      <w:r>
        <w:t xml:space="preserve">For gavaging </w:t>
      </w:r>
      <w:r w:rsidR="00C431B9">
        <w:t xml:space="preserve">a </w:t>
      </w:r>
      <w:r>
        <w:t>rat, grasp it over the shoulders using the index and middle fingers on each side of the neck</w:t>
      </w:r>
      <w:r w:rsidR="00C431B9">
        <w:t>,</w:t>
      </w:r>
      <w:r>
        <w:t xml:space="preserve"> and the palm on the animal’s back. The thumb, third</w:t>
      </w:r>
      <w:r w:rsidR="00B666BC">
        <w:t>,</w:t>
      </w:r>
      <w:r>
        <w:t xml:space="preserve"> and fourth fingers </w:t>
      </w:r>
      <w:r w:rsidR="00C431B9">
        <w:t xml:space="preserve">should </w:t>
      </w:r>
      <w:r>
        <w:t xml:space="preserve">encircle the chest to prevent the animal for being able to move forward or backward. The position of the fingers on each side of the neck prevents the rat from turning </w:t>
      </w:r>
      <w:r w:rsidR="00C431B9">
        <w:t>its</w:t>
      </w:r>
      <w:r>
        <w:t xml:space="preserve"> head. </w:t>
      </w:r>
      <w:r w:rsidR="00B666BC">
        <w:br/>
      </w:r>
    </w:p>
    <w:p w14:paraId="024EB2D2" w14:textId="77777777" w:rsidR="00BA09F3" w:rsidRDefault="00BA09F3" w:rsidP="00BA09F3">
      <w:pPr>
        <w:pStyle w:val="ListParagraph"/>
        <w:numPr>
          <w:ilvl w:val="2"/>
          <w:numId w:val="1"/>
        </w:numPr>
      </w:pPr>
      <w:r>
        <w:t>It is important that the body be in a straight line and not twisted to assist in the placement of the gavage needle without damage to the mouth, pharynx, esophagus</w:t>
      </w:r>
      <w:r w:rsidR="00B666BC">
        <w:t>,</w:t>
      </w:r>
      <w:r>
        <w:t xml:space="preserve"> or stomach.</w:t>
      </w:r>
      <w:r w:rsidR="00B666BC">
        <w:br/>
      </w:r>
    </w:p>
    <w:p w14:paraId="202ED338" w14:textId="77777777" w:rsidR="00BA09F3" w:rsidRDefault="00B666BC" w:rsidP="00BA09F3">
      <w:pPr>
        <w:pStyle w:val="ListParagraph"/>
        <w:numPr>
          <w:ilvl w:val="2"/>
          <w:numId w:val="1"/>
        </w:numPr>
      </w:pPr>
      <w:r>
        <w:t>Make sure t</w:t>
      </w:r>
      <w:r w:rsidR="00BA09F3">
        <w:t xml:space="preserve">he head </w:t>
      </w:r>
      <w:r>
        <w:t>does not have excess side-to-</w:t>
      </w:r>
      <w:r w:rsidR="00BA09F3">
        <w:t>side movement.</w:t>
      </w:r>
      <w:r>
        <w:br/>
      </w:r>
    </w:p>
    <w:p w14:paraId="3F69D646" w14:textId="77777777" w:rsidR="00BA09F3" w:rsidRDefault="00BA09F3" w:rsidP="00BA09F3">
      <w:pPr>
        <w:pStyle w:val="ListParagraph"/>
        <w:numPr>
          <w:ilvl w:val="2"/>
          <w:numId w:val="1"/>
        </w:numPr>
      </w:pPr>
      <w:r>
        <w:lastRenderedPageBreak/>
        <w:t xml:space="preserve">The hindquarters </w:t>
      </w:r>
      <w:r w:rsidR="00836C3A">
        <w:t>may</w:t>
      </w:r>
      <w:r>
        <w:t xml:space="preserve"> be stabilized to prevent body rotation. This </w:t>
      </w:r>
      <w:r w:rsidR="00B666BC">
        <w:t>is</w:t>
      </w:r>
      <w:r>
        <w:t xml:space="preserve"> accomplished by allowing the back feet to rest on the counter or cage top.</w:t>
      </w:r>
      <w:r w:rsidR="00B666BC">
        <w:br/>
      </w:r>
    </w:p>
    <w:p w14:paraId="5A4E1E7C" w14:textId="77777777" w:rsidR="00E9435E" w:rsidRDefault="00172474" w:rsidP="00A61505">
      <w:pPr>
        <w:pStyle w:val="ListParagraph"/>
        <w:numPr>
          <w:ilvl w:val="1"/>
          <w:numId w:val="1"/>
        </w:numPr>
        <w:ind w:left="1080" w:hanging="360"/>
      </w:pPr>
      <w:r>
        <w:t>Administration of the substance</w:t>
      </w:r>
      <w:r w:rsidR="00B666BC">
        <w:br/>
      </w:r>
    </w:p>
    <w:p w14:paraId="01F459D6" w14:textId="0CF7D80C" w:rsidR="00E9435E" w:rsidRDefault="00172474" w:rsidP="00172474">
      <w:pPr>
        <w:pStyle w:val="ListParagraph"/>
        <w:numPr>
          <w:ilvl w:val="2"/>
          <w:numId w:val="1"/>
        </w:numPr>
      </w:pPr>
      <w:r>
        <w:t>Position the needle with t</w:t>
      </w:r>
      <w:r w:rsidR="00B666BC">
        <w:t>he curve facing downward and in</w:t>
      </w:r>
      <w:r>
        <w:t xml:space="preserve">line with the natural curve of the neck. </w:t>
      </w:r>
      <w:r w:rsidR="00B666BC">
        <w:t>Introduce t</w:t>
      </w:r>
      <w:r>
        <w:t>he needle into the mouth from the right or left side</w:t>
      </w:r>
      <w:r w:rsidR="00B666BC">
        <w:t>,</w:t>
      </w:r>
      <w:r>
        <w:t xml:space="preserve"> through the diastemata</w:t>
      </w:r>
      <w:r w:rsidR="00B666BC">
        <w:t xml:space="preserve"> and</w:t>
      </w:r>
      <w:r>
        <w:t xml:space="preserve"> between the incisors and molars at an angle toward the back of the pharynx.</w:t>
      </w:r>
      <w:r w:rsidR="00D32223">
        <w:t xml:space="preserve"> </w:t>
      </w:r>
      <w:r w:rsidR="00B666BC">
        <w:br/>
      </w:r>
    </w:p>
    <w:p w14:paraId="1627119B" w14:textId="77777777" w:rsidR="00E9435E" w:rsidRDefault="00172474" w:rsidP="00172474">
      <w:pPr>
        <w:pStyle w:val="ListParagraph"/>
        <w:numPr>
          <w:ilvl w:val="2"/>
          <w:numId w:val="1"/>
        </w:numPr>
      </w:pPr>
      <w:r>
        <w:t xml:space="preserve">Once the needle is in the oral cavity, tilt the head back using the gavage needle until the nose is pointed up. This is especially important when using straight needles. The needle should slide easily into the esophagus. Do not force the needle down. If any resistance is felt, back the needle out and try again. </w:t>
      </w:r>
      <w:r w:rsidR="00B666BC">
        <w:br/>
      </w:r>
    </w:p>
    <w:p w14:paraId="73DB16E3" w14:textId="77777777" w:rsidR="00B666BC" w:rsidRDefault="00172474" w:rsidP="00172474">
      <w:pPr>
        <w:pStyle w:val="ListParagraph"/>
        <w:numPr>
          <w:ilvl w:val="2"/>
          <w:numId w:val="1"/>
        </w:numPr>
      </w:pPr>
      <w:r>
        <w:t xml:space="preserve">Once the needle is in position in the stomach, gently deposit the compound. </w:t>
      </w:r>
      <w:r w:rsidR="00B666BC">
        <w:br/>
      </w:r>
    </w:p>
    <w:p w14:paraId="370A006C" w14:textId="337F3DAF" w:rsidR="00E9435E" w:rsidRDefault="00B666BC" w:rsidP="00172474">
      <w:pPr>
        <w:pStyle w:val="ListParagraph"/>
        <w:numPr>
          <w:ilvl w:val="2"/>
          <w:numId w:val="1"/>
        </w:numPr>
      </w:pPr>
      <w:r>
        <w:t>Remove</w:t>
      </w:r>
      <w:r w:rsidR="00172474">
        <w:t xml:space="preserve"> the needle</w:t>
      </w:r>
      <w:r w:rsidR="00C431B9">
        <w:t>,</w:t>
      </w:r>
      <w:r>
        <w:t xml:space="preserve"> making sure </w:t>
      </w:r>
      <w:r w:rsidR="00172474">
        <w:t>that no rotation of a curved needle take</w:t>
      </w:r>
      <w:r w:rsidR="00C431B9">
        <w:t>s</w:t>
      </w:r>
      <w:r w:rsidR="00172474">
        <w:t xml:space="preserve"> place.  </w:t>
      </w:r>
      <w:r>
        <w:br/>
      </w:r>
    </w:p>
    <w:p w14:paraId="15BEEFC0" w14:textId="77777777" w:rsidR="00BA09F3" w:rsidRDefault="00BA09F3" w:rsidP="00BA09F3">
      <w:pPr>
        <w:pStyle w:val="ListParagraph"/>
        <w:numPr>
          <w:ilvl w:val="2"/>
          <w:numId w:val="1"/>
        </w:numPr>
      </w:pPr>
      <w:r>
        <w:t xml:space="preserve">If </w:t>
      </w:r>
      <w:r w:rsidRPr="00BA09F3">
        <w:t>the animal begin</w:t>
      </w:r>
      <w:r>
        <w:t>s</w:t>
      </w:r>
      <w:r w:rsidRPr="00BA09F3">
        <w:t xml:space="preserve"> to struggle, remove the dosing needle and restrain the animal more securely. </w:t>
      </w:r>
      <w:r>
        <w:t xml:space="preserve"> </w:t>
      </w:r>
      <w:r w:rsidR="00B666BC">
        <w:br/>
      </w:r>
    </w:p>
    <w:p w14:paraId="6C8406C4" w14:textId="77777777" w:rsidR="002E1A0B" w:rsidRDefault="00172474" w:rsidP="00A61505">
      <w:pPr>
        <w:pStyle w:val="ListParagraph"/>
        <w:numPr>
          <w:ilvl w:val="2"/>
          <w:numId w:val="1"/>
        </w:numPr>
        <w:spacing w:before="200"/>
      </w:pPr>
      <w:r w:rsidRPr="00BA09F3">
        <w:t>While performing the procedure, if the animal shows signs of cyanosis or respiratory distress</w:t>
      </w:r>
      <w:r w:rsidR="00C431B9">
        <w:t>,</w:t>
      </w:r>
      <w:r w:rsidRPr="00BA09F3">
        <w:t xml:space="preserve"> or if there is solution flowing from its mouth, the dosing needle should be immediately removed and the animal released into its cage.</w:t>
      </w:r>
      <w:r w:rsidR="00BA09F3" w:rsidRPr="00BA09F3">
        <w:t xml:space="preserve">  </w:t>
      </w:r>
    </w:p>
    <w:p w14:paraId="59005B49" w14:textId="22501483" w:rsidR="00BA09F3" w:rsidRPr="00126265" w:rsidRDefault="00126265" w:rsidP="00126265">
      <w:pPr>
        <w:spacing w:before="200"/>
        <w:rPr>
          <w:b/>
        </w:rPr>
      </w:pPr>
      <w:r w:rsidRPr="00126265">
        <w:rPr>
          <w:b/>
        </w:rPr>
        <w:t xml:space="preserve">Figure 2. </w:t>
      </w:r>
      <w:proofErr w:type="gramStart"/>
      <w:r w:rsidRPr="00126265">
        <w:rPr>
          <w:b/>
        </w:rPr>
        <w:t>Oral gavage in mice (left) and rats (right).</w:t>
      </w:r>
      <w:proofErr w:type="gramEnd"/>
      <w:r w:rsidRPr="00126265">
        <w:rPr>
          <w:b/>
        </w:rPr>
        <w:t xml:space="preserve"> </w:t>
      </w:r>
    </w:p>
    <w:p w14:paraId="336E42A2" w14:textId="77777777" w:rsidR="00C431B9" w:rsidRDefault="00BA09F3" w:rsidP="00A61505">
      <w:pPr>
        <w:spacing w:before="200"/>
        <w:contextualSpacing/>
        <w:rPr>
          <w:b/>
        </w:rPr>
      </w:pPr>
      <w:r w:rsidRPr="00B666BC">
        <w:rPr>
          <w:b/>
        </w:rPr>
        <w:t>Conclusion</w:t>
      </w:r>
    </w:p>
    <w:p w14:paraId="7DBAE4BF" w14:textId="6783DC9A" w:rsidR="006D2DC0" w:rsidRDefault="00B666BC" w:rsidP="00A61505">
      <w:pPr>
        <w:spacing w:before="200"/>
        <w:contextualSpacing/>
      </w:pPr>
      <w:r>
        <w:br/>
      </w:r>
      <w:r w:rsidR="00BA09F3">
        <w:t>The safest and most humane method of compound administration is through oral dosing if it is possible to incorporate it into the feed or water. Oral gavage is a precise do</w:t>
      </w:r>
      <w:r>
        <w:t>s</w:t>
      </w:r>
      <w:r w:rsidR="00BA09F3">
        <w:t>ing method but is also very stressful to the animal</w:t>
      </w:r>
      <w:r w:rsidR="00C431B9">
        <w:t>,</w:t>
      </w:r>
      <w:r w:rsidR="00BA09F3">
        <w:t xml:space="preserve"> and it requires </w:t>
      </w:r>
      <w:r w:rsidR="006D2DC0">
        <w:t>technical proficiency. Topical administration is usually accomplished with little or no restrain</w:t>
      </w:r>
      <w:r>
        <w:t>t</w:t>
      </w:r>
      <w:r w:rsidR="006D2DC0">
        <w:t xml:space="preserve"> of the animal, once the area is properly prepared. Careful consideration of the route of administration should factor in the potential stress to the animals. </w:t>
      </w:r>
    </w:p>
    <w:p w14:paraId="73BFC54E" w14:textId="77777777" w:rsidR="00C431B9" w:rsidRDefault="00C431B9" w:rsidP="00A61505">
      <w:pPr>
        <w:spacing w:before="200"/>
        <w:contextualSpacing/>
      </w:pPr>
    </w:p>
    <w:p w14:paraId="2F158536" w14:textId="77777777" w:rsidR="00B462CF" w:rsidRDefault="00836C3A" w:rsidP="00A61505">
      <w:pPr>
        <w:spacing w:before="200"/>
        <w:contextualSpacing/>
        <w:rPr>
          <w:b/>
        </w:rPr>
      </w:pPr>
      <w:bookmarkStart w:id="0" w:name="_GoBack"/>
      <w:bookmarkEnd w:id="0"/>
      <w:r w:rsidRPr="00E577A8">
        <w:rPr>
          <w:b/>
        </w:rPr>
        <w:t>R</w:t>
      </w:r>
      <w:r w:rsidR="006D2DC0" w:rsidRPr="00E577A8">
        <w:rPr>
          <w:b/>
        </w:rPr>
        <w:t>eferences</w:t>
      </w:r>
    </w:p>
    <w:p w14:paraId="38E07AD4" w14:textId="358E00E3" w:rsidR="00C11204" w:rsidRDefault="00C11204" w:rsidP="00A61505">
      <w:pPr>
        <w:spacing w:before="200"/>
        <w:contextualSpacing/>
        <w:rPr>
          <w:b/>
        </w:rPr>
      </w:pPr>
    </w:p>
    <w:p w14:paraId="269F5422" w14:textId="6911966D" w:rsidR="00C431B9" w:rsidRDefault="00C431B9" w:rsidP="00A61505">
      <w:pPr>
        <w:numPr>
          <w:ilvl w:val="0"/>
          <w:numId w:val="8"/>
        </w:numPr>
        <w:spacing w:before="200"/>
        <w:contextualSpacing/>
      </w:pPr>
      <w:r w:rsidRPr="006D2DC0">
        <w:t>Turner, P.V., Pekow, C., Vasbinder, M. A.</w:t>
      </w:r>
      <w:r w:rsidR="00B462CF">
        <w:t>,</w:t>
      </w:r>
      <w:r w:rsidRPr="006D2DC0">
        <w:t xml:space="preserve"> and Brabb, T. 2011. Administration of substances to laboratory animals: equipment and considerations, vehicle selection, and solution preparation. </w:t>
      </w:r>
      <w:r w:rsidRPr="006D2DC0">
        <w:rPr>
          <w:i/>
        </w:rPr>
        <w:t>JAALAS.</w:t>
      </w:r>
      <w:r w:rsidRPr="006D2DC0">
        <w:t xml:space="preserve"> </w:t>
      </w:r>
      <w:r w:rsidRPr="006D2DC0">
        <w:rPr>
          <w:b/>
        </w:rPr>
        <w:t>50</w:t>
      </w:r>
      <w:r w:rsidRPr="006D2DC0">
        <w:t>:5. 614-627.</w:t>
      </w:r>
    </w:p>
    <w:p w14:paraId="24540BA4" w14:textId="77777777" w:rsidR="00B462CF" w:rsidRDefault="00B462CF" w:rsidP="00A61505">
      <w:pPr>
        <w:spacing w:before="200"/>
        <w:ind w:left="720"/>
        <w:contextualSpacing/>
      </w:pPr>
    </w:p>
    <w:p w14:paraId="7E999C39" w14:textId="14486F16" w:rsidR="006D2DC0" w:rsidRPr="00A61505" w:rsidRDefault="006D2DC0" w:rsidP="00A61505">
      <w:pPr>
        <w:numPr>
          <w:ilvl w:val="0"/>
          <w:numId w:val="8"/>
        </w:numPr>
        <w:spacing w:before="200"/>
        <w:contextualSpacing/>
      </w:pPr>
      <w:r w:rsidRPr="006D2DC0">
        <w:lastRenderedPageBreak/>
        <w:t xml:space="preserve">Shimizu, S. 2004. Routes of Administration in </w:t>
      </w:r>
      <w:r w:rsidRPr="006D2DC0">
        <w:rPr>
          <w:i/>
        </w:rPr>
        <w:t xml:space="preserve">The Laboratory Mouse. </w:t>
      </w:r>
      <w:r w:rsidRPr="006D2DC0">
        <w:t>Elsevier.</w:t>
      </w:r>
      <w:r w:rsidRPr="006D2DC0">
        <w:rPr>
          <w:i/>
        </w:rPr>
        <w:t xml:space="preserve"> </w:t>
      </w:r>
    </w:p>
    <w:p w14:paraId="474F6885" w14:textId="77777777" w:rsidR="00B462CF" w:rsidRPr="006D2DC0" w:rsidRDefault="00B462CF" w:rsidP="00A61505">
      <w:pPr>
        <w:spacing w:before="200"/>
        <w:contextualSpacing/>
      </w:pPr>
    </w:p>
    <w:p w14:paraId="660B387B" w14:textId="0E001C73" w:rsidR="006D2DC0" w:rsidRDefault="006D2DC0" w:rsidP="00A61505">
      <w:pPr>
        <w:numPr>
          <w:ilvl w:val="0"/>
          <w:numId w:val="8"/>
        </w:numPr>
        <w:spacing w:before="200"/>
        <w:contextualSpacing/>
      </w:pPr>
      <w:r w:rsidRPr="006D2DC0">
        <w:t>Machholz, E., Mulder, G., Ruiz, C., Corning, B. F., Pritchett-Corning, K. R. 2012. Manual Restraint and Common Compound Administration Routes in Mice and Rats. </w:t>
      </w:r>
      <w:r w:rsidRPr="006D2DC0">
        <w:rPr>
          <w:i/>
          <w:iCs/>
        </w:rPr>
        <w:t>J. Vis. Exp.</w:t>
      </w:r>
      <w:r w:rsidRPr="006D2DC0">
        <w:t> (67), e2771, doi:10.3791/2771</w:t>
      </w:r>
      <w:r w:rsidR="00B462CF">
        <w:t>.</w:t>
      </w:r>
      <w:r w:rsidRPr="006D2DC0">
        <w:t xml:space="preserve"> </w:t>
      </w:r>
    </w:p>
    <w:p w14:paraId="0AC32993" w14:textId="77777777" w:rsidR="00B462CF" w:rsidRPr="006D2DC0" w:rsidRDefault="00B462CF" w:rsidP="00A61505">
      <w:pPr>
        <w:spacing w:before="200"/>
        <w:contextualSpacing/>
      </w:pPr>
    </w:p>
    <w:p w14:paraId="3EFF1FDE" w14:textId="2834D5F0" w:rsidR="00B462CF" w:rsidRDefault="006D2DC0" w:rsidP="00A61505">
      <w:pPr>
        <w:numPr>
          <w:ilvl w:val="0"/>
          <w:numId w:val="8"/>
        </w:numPr>
        <w:spacing w:before="200"/>
        <w:contextualSpacing/>
      </w:pPr>
      <w:r w:rsidRPr="006D2DC0">
        <w:t xml:space="preserve">Turner, P. V., Brabb, T., Pekow, C., Vasbinder, M. A. 2011. Administration of substances to laboratory animals: routes of administration and factors to consider. </w:t>
      </w:r>
      <w:r w:rsidRPr="006D2DC0">
        <w:rPr>
          <w:i/>
        </w:rPr>
        <w:t>JAALAS.</w:t>
      </w:r>
      <w:r w:rsidRPr="006D2DC0">
        <w:t xml:space="preserve"> 50, 600-613</w:t>
      </w:r>
      <w:r w:rsidR="00B462CF">
        <w:t>.</w:t>
      </w:r>
    </w:p>
    <w:p w14:paraId="5782B799" w14:textId="5C765100" w:rsidR="006D2DC0" w:rsidRPr="006D2DC0" w:rsidRDefault="006D2DC0" w:rsidP="00A61505">
      <w:pPr>
        <w:spacing w:before="200"/>
        <w:contextualSpacing/>
      </w:pPr>
      <w:r w:rsidRPr="006D2DC0">
        <w:t xml:space="preserve"> </w:t>
      </w:r>
    </w:p>
    <w:p w14:paraId="3D806113" w14:textId="649F9776" w:rsidR="00B462CF" w:rsidRDefault="006D2DC0" w:rsidP="00A61505">
      <w:pPr>
        <w:numPr>
          <w:ilvl w:val="0"/>
          <w:numId w:val="8"/>
        </w:numPr>
        <w:spacing w:before="200"/>
        <w:contextualSpacing/>
      </w:pPr>
      <w:r w:rsidRPr="006D2DC0">
        <w:t xml:space="preserve">Hoggart, A.F., Hoggart, J., Honerlaw, M., and Pelus, L.M. 2010. A spoonful of sugar helps the medicine go down: a novel technique to improve oral gavage in mice. </w:t>
      </w:r>
      <w:r w:rsidRPr="006D2DC0">
        <w:rPr>
          <w:i/>
        </w:rPr>
        <w:t>JAALAS.</w:t>
      </w:r>
      <w:r w:rsidRPr="006D2DC0">
        <w:t xml:space="preserve"> </w:t>
      </w:r>
      <w:r w:rsidRPr="006D2DC0">
        <w:rPr>
          <w:b/>
        </w:rPr>
        <w:t>49</w:t>
      </w:r>
      <w:r w:rsidRPr="006D2DC0">
        <w:t>:3. 329-334.</w:t>
      </w:r>
    </w:p>
    <w:p w14:paraId="3130CA20" w14:textId="77777777" w:rsidR="00B462CF" w:rsidRPr="006D2DC0" w:rsidRDefault="00B462CF" w:rsidP="00A61505">
      <w:pPr>
        <w:spacing w:before="200"/>
        <w:contextualSpacing/>
      </w:pPr>
    </w:p>
    <w:p w14:paraId="0A98EA6A" w14:textId="0A85F5A5" w:rsidR="006D2DC0" w:rsidRDefault="006D2DC0" w:rsidP="00A61505">
      <w:pPr>
        <w:pStyle w:val="ListParagraph"/>
        <w:numPr>
          <w:ilvl w:val="0"/>
          <w:numId w:val="8"/>
        </w:numPr>
        <w:spacing w:before="200"/>
      </w:pPr>
      <w:r>
        <w:t>Gonzales, C., Zaleska, M.M., Riddell, D.R., Atchison</w:t>
      </w:r>
      <w:r w:rsidR="00631646">
        <w:t xml:space="preserve">, K.P., Robshaw, </w:t>
      </w:r>
      <w:r w:rsidR="00B462CF">
        <w:t>A</w:t>
      </w:r>
      <w:r w:rsidR="00631646">
        <w:t xml:space="preserve">., Zhou, H., and Rizzo, S.J. 2014. Alternative method of oral administration by peanut butter pellet formulation results in target engagement of BACE1 and attenuation of gavage-induced stress responses in mice. </w:t>
      </w:r>
      <w:r w:rsidR="00631646" w:rsidRPr="00631646">
        <w:rPr>
          <w:i/>
        </w:rPr>
        <w:t>Pharmacology, Biochemistry, and Behavior</w:t>
      </w:r>
      <w:r w:rsidR="00631646">
        <w:t xml:space="preserve">. </w:t>
      </w:r>
      <w:r w:rsidR="00631646" w:rsidRPr="00631646">
        <w:rPr>
          <w:b/>
        </w:rPr>
        <w:t>126</w:t>
      </w:r>
      <w:r w:rsidR="00631646">
        <w:t>:28-35.</w:t>
      </w:r>
    </w:p>
    <w:p w14:paraId="58F02EDC" w14:textId="77777777" w:rsidR="00B462CF" w:rsidRDefault="00B462CF" w:rsidP="00A61505">
      <w:pPr>
        <w:pStyle w:val="ListParagraph"/>
        <w:spacing w:before="200"/>
      </w:pPr>
    </w:p>
    <w:p w14:paraId="27658CAC" w14:textId="77777777" w:rsidR="00631646" w:rsidRDefault="00631646" w:rsidP="00A61505">
      <w:pPr>
        <w:pStyle w:val="ListParagraph"/>
        <w:numPr>
          <w:ilvl w:val="0"/>
          <w:numId w:val="8"/>
        </w:numPr>
        <w:spacing w:before="200"/>
      </w:pPr>
      <w:r>
        <w:t>K</w:t>
      </w:r>
      <w:r>
        <w:rPr>
          <w:rFonts w:cstheme="minorHAnsi"/>
        </w:rPr>
        <w:t>ü</w:t>
      </w:r>
      <w:r>
        <w:t xml:space="preserve">ster, T., Zumkehr, B., Hermann, C., Theurillat, R., Thormann, W., Gottstein, B., and Hemphill, A. 2012. Voluntary ingestion of antiparasitic drugs emulsified in honey represents an alternative to gavage in mice. </w:t>
      </w:r>
      <w:r w:rsidRPr="00631646">
        <w:rPr>
          <w:i/>
        </w:rPr>
        <w:t>JAALAS</w:t>
      </w:r>
      <w:r>
        <w:t xml:space="preserve">. </w:t>
      </w:r>
      <w:r w:rsidRPr="00631646">
        <w:rPr>
          <w:b/>
        </w:rPr>
        <w:t>51</w:t>
      </w:r>
      <w:r>
        <w:t>:2. 219-223.</w:t>
      </w:r>
    </w:p>
    <w:sectPr w:rsidR="00631646">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DB228A9" w15:done="0"/>
  <w15:commentEx w15:paraId="102F186E" w15:done="0"/>
  <w15:commentEx w15:paraId="642D971F"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74A08"/>
    <w:multiLevelType w:val="multilevel"/>
    <w:tmpl w:val="C98475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9D84EA3"/>
    <w:multiLevelType w:val="hybridMultilevel"/>
    <w:tmpl w:val="08DAE16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nsid w:val="1BE83F7E"/>
    <w:multiLevelType w:val="hybridMultilevel"/>
    <w:tmpl w:val="F81AA08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nsid w:val="1F250B95"/>
    <w:multiLevelType w:val="hybridMultilevel"/>
    <w:tmpl w:val="F5E4D71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nsid w:val="253652F2"/>
    <w:multiLevelType w:val="hybridMultilevel"/>
    <w:tmpl w:val="8D8A5AA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nsid w:val="27BB7381"/>
    <w:multiLevelType w:val="hybridMultilevel"/>
    <w:tmpl w:val="05A86D1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nsid w:val="29D9305B"/>
    <w:multiLevelType w:val="hybridMultilevel"/>
    <w:tmpl w:val="94CA92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5D717BCC"/>
    <w:multiLevelType w:val="multilevel"/>
    <w:tmpl w:val="1326FC1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8">
    <w:nsid w:val="6B8B02F9"/>
    <w:multiLevelType w:val="hybridMultilevel"/>
    <w:tmpl w:val="91C8108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7"/>
  </w:num>
  <w:num w:numId="2">
    <w:abstractNumId w:val="5"/>
  </w:num>
  <w:num w:numId="3">
    <w:abstractNumId w:val="8"/>
  </w:num>
  <w:num w:numId="4">
    <w:abstractNumId w:val="4"/>
  </w:num>
  <w:num w:numId="5">
    <w:abstractNumId w:val="3"/>
  </w:num>
  <w:num w:numId="6">
    <w:abstractNumId w:val="1"/>
  </w:num>
  <w:num w:numId="7">
    <w:abstractNumId w:val="2"/>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nnis McGonagle">
    <w15:presenceInfo w15:providerId="None" w15:userId="Dennis McGonag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474"/>
    <w:rsid w:val="0002513C"/>
    <w:rsid w:val="00064270"/>
    <w:rsid w:val="00084713"/>
    <w:rsid w:val="000D22E2"/>
    <w:rsid w:val="000F02EC"/>
    <w:rsid w:val="00126265"/>
    <w:rsid w:val="00172474"/>
    <w:rsid w:val="00194549"/>
    <w:rsid w:val="001B7AA6"/>
    <w:rsid w:val="001F74F5"/>
    <w:rsid w:val="00276914"/>
    <w:rsid w:val="002E1A0B"/>
    <w:rsid w:val="002E6766"/>
    <w:rsid w:val="00301BCA"/>
    <w:rsid w:val="00322A5C"/>
    <w:rsid w:val="00345F6C"/>
    <w:rsid w:val="00361679"/>
    <w:rsid w:val="003D3810"/>
    <w:rsid w:val="00423816"/>
    <w:rsid w:val="00433494"/>
    <w:rsid w:val="00435E8E"/>
    <w:rsid w:val="00440B46"/>
    <w:rsid w:val="004A53F6"/>
    <w:rsid w:val="004F266F"/>
    <w:rsid w:val="00543AF4"/>
    <w:rsid w:val="005908F0"/>
    <w:rsid w:val="005B770B"/>
    <w:rsid w:val="00631646"/>
    <w:rsid w:val="00672860"/>
    <w:rsid w:val="006B2A98"/>
    <w:rsid w:val="006C0435"/>
    <w:rsid w:val="006D2DC0"/>
    <w:rsid w:val="006E3160"/>
    <w:rsid w:val="0070697A"/>
    <w:rsid w:val="00716D99"/>
    <w:rsid w:val="007576F8"/>
    <w:rsid w:val="007F61AE"/>
    <w:rsid w:val="00836C3A"/>
    <w:rsid w:val="00850974"/>
    <w:rsid w:val="0085440D"/>
    <w:rsid w:val="008B121C"/>
    <w:rsid w:val="009071F4"/>
    <w:rsid w:val="00997630"/>
    <w:rsid w:val="009A231D"/>
    <w:rsid w:val="00A367C1"/>
    <w:rsid w:val="00A4161E"/>
    <w:rsid w:val="00A61505"/>
    <w:rsid w:val="00A94EE2"/>
    <w:rsid w:val="00B41C12"/>
    <w:rsid w:val="00B462CF"/>
    <w:rsid w:val="00B666BC"/>
    <w:rsid w:val="00B971A0"/>
    <w:rsid w:val="00BA09F3"/>
    <w:rsid w:val="00BC76D3"/>
    <w:rsid w:val="00BD19FC"/>
    <w:rsid w:val="00C11204"/>
    <w:rsid w:val="00C22374"/>
    <w:rsid w:val="00C431B9"/>
    <w:rsid w:val="00C5271F"/>
    <w:rsid w:val="00CE7A9B"/>
    <w:rsid w:val="00D32223"/>
    <w:rsid w:val="00D32507"/>
    <w:rsid w:val="00DA485C"/>
    <w:rsid w:val="00DC4B18"/>
    <w:rsid w:val="00E3660C"/>
    <w:rsid w:val="00E577A8"/>
    <w:rsid w:val="00E9435E"/>
    <w:rsid w:val="00EB3E7A"/>
    <w:rsid w:val="00ED0898"/>
    <w:rsid w:val="00ED4F3D"/>
    <w:rsid w:val="00EF0F6E"/>
    <w:rsid w:val="00EF4038"/>
    <w:rsid w:val="00F92594"/>
    <w:rsid w:val="00FA38E7"/>
    <w:rsid w:val="00FC28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AB57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4038"/>
    <w:pPr>
      <w:ind w:left="720"/>
      <w:contextualSpacing/>
    </w:pPr>
  </w:style>
  <w:style w:type="paragraph" w:styleId="BalloonText">
    <w:name w:val="Balloon Text"/>
    <w:basedOn w:val="Normal"/>
    <w:link w:val="BalloonTextChar"/>
    <w:uiPriority w:val="99"/>
    <w:semiHidden/>
    <w:unhideWhenUsed/>
    <w:rsid w:val="006316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1646"/>
    <w:rPr>
      <w:rFonts w:ascii="Tahoma" w:hAnsi="Tahoma" w:cs="Tahoma"/>
      <w:sz w:val="16"/>
      <w:szCs w:val="16"/>
    </w:rPr>
  </w:style>
  <w:style w:type="character" w:styleId="CommentReference">
    <w:name w:val="annotation reference"/>
    <w:basedOn w:val="DefaultParagraphFont"/>
    <w:uiPriority w:val="99"/>
    <w:semiHidden/>
    <w:unhideWhenUsed/>
    <w:rsid w:val="009A231D"/>
    <w:rPr>
      <w:sz w:val="18"/>
      <w:szCs w:val="18"/>
    </w:rPr>
  </w:style>
  <w:style w:type="paragraph" w:styleId="CommentText">
    <w:name w:val="annotation text"/>
    <w:basedOn w:val="Normal"/>
    <w:link w:val="CommentTextChar"/>
    <w:uiPriority w:val="99"/>
    <w:semiHidden/>
    <w:unhideWhenUsed/>
    <w:rsid w:val="009A231D"/>
    <w:pPr>
      <w:spacing w:line="240" w:lineRule="auto"/>
    </w:pPr>
    <w:rPr>
      <w:sz w:val="24"/>
      <w:szCs w:val="24"/>
    </w:rPr>
  </w:style>
  <w:style w:type="character" w:customStyle="1" w:styleId="CommentTextChar">
    <w:name w:val="Comment Text Char"/>
    <w:basedOn w:val="DefaultParagraphFont"/>
    <w:link w:val="CommentText"/>
    <w:uiPriority w:val="99"/>
    <w:semiHidden/>
    <w:rsid w:val="009A231D"/>
    <w:rPr>
      <w:sz w:val="24"/>
      <w:szCs w:val="24"/>
    </w:rPr>
  </w:style>
  <w:style w:type="paragraph" w:styleId="CommentSubject">
    <w:name w:val="annotation subject"/>
    <w:basedOn w:val="CommentText"/>
    <w:next w:val="CommentText"/>
    <w:link w:val="CommentSubjectChar"/>
    <w:uiPriority w:val="99"/>
    <w:semiHidden/>
    <w:unhideWhenUsed/>
    <w:rsid w:val="009A231D"/>
    <w:rPr>
      <w:b/>
      <w:bCs/>
      <w:sz w:val="20"/>
      <w:szCs w:val="20"/>
    </w:rPr>
  </w:style>
  <w:style w:type="character" w:customStyle="1" w:styleId="CommentSubjectChar">
    <w:name w:val="Comment Subject Char"/>
    <w:basedOn w:val="CommentTextChar"/>
    <w:link w:val="CommentSubject"/>
    <w:uiPriority w:val="99"/>
    <w:semiHidden/>
    <w:rsid w:val="009A231D"/>
    <w:rPr>
      <w:b/>
      <w:bCs/>
      <w:sz w:val="20"/>
      <w:szCs w:val="20"/>
    </w:rPr>
  </w:style>
  <w:style w:type="character" w:customStyle="1" w:styleId="apple-converted-space">
    <w:name w:val="apple-converted-space"/>
    <w:basedOn w:val="DefaultParagraphFont"/>
    <w:rsid w:val="009A231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4038"/>
    <w:pPr>
      <w:ind w:left="720"/>
      <w:contextualSpacing/>
    </w:pPr>
  </w:style>
  <w:style w:type="paragraph" w:styleId="BalloonText">
    <w:name w:val="Balloon Text"/>
    <w:basedOn w:val="Normal"/>
    <w:link w:val="BalloonTextChar"/>
    <w:uiPriority w:val="99"/>
    <w:semiHidden/>
    <w:unhideWhenUsed/>
    <w:rsid w:val="006316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1646"/>
    <w:rPr>
      <w:rFonts w:ascii="Tahoma" w:hAnsi="Tahoma" w:cs="Tahoma"/>
      <w:sz w:val="16"/>
      <w:szCs w:val="16"/>
    </w:rPr>
  </w:style>
  <w:style w:type="character" w:styleId="CommentReference">
    <w:name w:val="annotation reference"/>
    <w:basedOn w:val="DefaultParagraphFont"/>
    <w:uiPriority w:val="99"/>
    <w:semiHidden/>
    <w:unhideWhenUsed/>
    <w:rsid w:val="009A231D"/>
    <w:rPr>
      <w:sz w:val="18"/>
      <w:szCs w:val="18"/>
    </w:rPr>
  </w:style>
  <w:style w:type="paragraph" w:styleId="CommentText">
    <w:name w:val="annotation text"/>
    <w:basedOn w:val="Normal"/>
    <w:link w:val="CommentTextChar"/>
    <w:uiPriority w:val="99"/>
    <w:semiHidden/>
    <w:unhideWhenUsed/>
    <w:rsid w:val="009A231D"/>
    <w:pPr>
      <w:spacing w:line="240" w:lineRule="auto"/>
    </w:pPr>
    <w:rPr>
      <w:sz w:val="24"/>
      <w:szCs w:val="24"/>
    </w:rPr>
  </w:style>
  <w:style w:type="character" w:customStyle="1" w:styleId="CommentTextChar">
    <w:name w:val="Comment Text Char"/>
    <w:basedOn w:val="DefaultParagraphFont"/>
    <w:link w:val="CommentText"/>
    <w:uiPriority w:val="99"/>
    <w:semiHidden/>
    <w:rsid w:val="009A231D"/>
    <w:rPr>
      <w:sz w:val="24"/>
      <w:szCs w:val="24"/>
    </w:rPr>
  </w:style>
  <w:style w:type="paragraph" w:styleId="CommentSubject">
    <w:name w:val="annotation subject"/>
    <w:basedOn w:val="CommentText"/>
    <w:next w:val="CommentText"/>
    <w:link w:val="CommentSubjectChar"/>
    <w:uiPriority w:val="99"/>
    <w:semiHidden/>
    <w:unhideWhenUsed/>
    <w:rsid w:val="009A231D"/>
    <w:rPr>
      <w:b/>
      <w:bCs/>
      <w:sz w:val="20"/>
      <w:szCs w:val="20"/>
    </w:rPr>
  </w:style>
  <w:style w:type="character" w:customStyle="1" w:styleId="CommentSubjectChar">
    <w:name w:val="Comment Subject Char"/>
    <w:basedOn w:val="CommentTextChar"/>
    <w:link w:val="CommentSubject"/>
    <w:uiPriority w:val="99"/>
    <w:semiHidden/>
    <w:rsid w:val="009A231D"/>
    <w:rPr>
      <w:b/>
      <w:bCs/>
      <w:sz w:val="20"/>
      <w:szCs w:val="20"/>
    </w:rPr>
  </w:style>
  <w:style w:type="character" w:customStyle="1" w:styleId="apple-converted-space">
    <w:name w:val="apple-converted-space"/>
    <w:basedOn w:val="DefaultParagraphFont"/>
    <w:rsid w:val="009A23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747196">
      <w:bodyDiv w:val="1"/>
      <w:marLeft w:val="0"/>
      <w:marRight w:val="0"/>
      <w:marTop w:val="0"/>
      <w:marBottom w:val="0"/>
      <w:divBdr>
        <w:top w:val="none" w:sz="0" w:space="0" w:color="auto"/>
        <w:left w:val="none" w:sz="0" w:space="0" w:color="auto"/>
        <w:bottom w:val="none" w:sz="0" w:space="0" w:color="auto"/>
        <w:right w:val="none" w:sz="0" w:space="0" w:color="auto"/>
      </w:divBdr>
    </w:div>
    <w:div w:id="545751005">
      <w:bodyDiv w:val="1"/>
      <w:marLeft w:val="0"/>
      <w:marRight w:val="0"/>
      <w:marTop w:val="0"/>
      <w:marBottom w:val="0"/>
      <w:divBdr>
        <w:top w:val="none" w:sz="0" w:space="0" w:color="auto"/>
        <w:left w:val="none" w:sz="0" w:space="0" w:color="auto"/>
        <w:bottom w:val="none" w:sz="0" w:space="0" w:color="auto"/>
        <w:right w:val="none" w:sz="0" w:space="0" w:color="auto"/>
      </w:divBdr>
    </w:div>
    <w:div w:id="1436711101">
      <w:bodyDiv w:val="1"/>
      <w:marLeft w:val="0"/>
      <w:marRight w:val="0"/>
      <w:marTop w:val="0"/>
      <w:marBottom w:val="0"/>
      <w:divBdr>
        <w:top w:val="none" w:sz="0" w:space="0" w:color="auto"/>
        <w:left w:val="none" w:sz="0" w:space="0" w:color="auto"/>
        <w:bottom w:val="none" w:sz="0" w:space="0" w:color="auto"/>
        <w:right w:val="none" w:sz="0" w:space="0" w:color="auto"/>
      </w:divBdr>
    </w:div>
    <w:div w:id="1768302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0" Type="http://schemas.microsoft.com/office/2011/relationships/commentsExtended" Target="commentsExtended.xml"/><Relationship Id="rId11"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C6E6CA-A259-5A4F-85A8-EBF31622D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2005</Words>
  <Characters>11429</Characters>
  <Application>Microsoft Macintosh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University of Notre Dame</Company>
  <LinksUpToDate>false</LinksUpToDate>
  <CharactersWithSpaces>13408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 Stewart</dc:creator>
  <cp:lastModifiedBy>Dipesh Navani</cp:lastModifiedBy>
  <cp:revision>13</cp:revision>
  <cp:lastPrinted>2015-07-16T20:43:00Z</cp:lastPrinted>
  <dcterms:created xsi:type="dcterms:W3CDTF">2016-09-23T13:10:00Z</dcterms:created>
  <dcterms:modified xsi:type="dcterms:W3CDTF">2016-09-27T17:02:00Z</dcterms:modified>
</cp:coreProperties>
</file>