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Porosimetry of a Commercial Adsorbent or Catalyst</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Kerry M. Dooley, Department of Chemical Engineering, Louisiana State University, Baton Rouge, LA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Surface area and pore size distribution are attributes used by adsorbent and catalyst manufacturers and users to ensure quality control and to determine when products are at the end of their useful lives. The surface area of a porous solid is directly related to its adsorption capacity or catalytic activity. The pore size distribution of an adsorbent or catalyst is controlled such that pores are large enough to easily admit molecules of interest, but small enough to provide a high surface area per mass.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Surface area and pore size distribution can be measured by the technique of isothermal nitrogen adsorption/desorption. In this experiment, a nitrogen porosimeter will be used to measure the surface area and pore size distribution of a silica/alumina powder. </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Surface areas of micro- (&amp;lt;2 nm pores) and mesoporous (2 - 50 nm pores) solids can be as large as several hundred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Accurate measurement requires an equation relating surface area to volume adsorbed (</w:t>
      </w: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vertAlign w:val="subscript"/>
        </w:rPr>
        <w:t xml:space="preserve">ads</w:t>
      </w:r>
      <w:r>
        <w:rPr>
          <w:rFonts w:ascii="Times New Roman" w:hAnsi="Times New Roman" w:cs="Times New Roman" w:eastAsia="Times New Roman"/>
          <w:color w:val="auto"/>
          <w:spacing w:val="0"/>
          <w:position w:val="0"/>
          <w:sz w:val="22"/>
          <w:shd w:fill="auto" w:val="clear"/>
        </w:rPr>
        <w:t xml:space="preserve">) and pressure at constant temperature (the </w:t>
      </w:r>
      <w:r>
        <w:rPr>
          <w:rFonts w:ascii="Times New Roman" w:hAnsi="Times New Roman" w:cs="Times New Roman" w:eastAsia="Times New Roman"/>
          <w:b/>
          <w:color w:val="auto"/>
          <w:spacing w:val="0"/>
          <w:position w:val="0"/>
          <w:sz w:val="22"/>
          <w:shd w:fill="auto" w:val="clear"/>
        </w:rPr>
        <w:t xml:space="preserve">isotherm</w:t>
      </w:r>
      <w:r>
        <w:rPr>
          <w:rFonts w:ascii="Times New Roman" w:hAnsi="Times New Roman" w:cs="Times New Roman" w:eastAsia="Times New Roman"/>
          <w:color w:val="auto"/>
          <w:spacing w:val="0"/>
          <w:position w:val="0"/>
          <w:sz w:val="22"/>
          <w:shd w:fill="auto" w:val="clear"/>
        </w:rPr>
        <w:t xml:space="preserve">). One then regresses the isotherm equation to determine the fit parameters. The normal method of reporting the surface area is to divide the sample area in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by the solid mass in grams to yield what is often called the </w:t>
      </w:r>
      <w:r>
        <w:rPr>
          <w:rFonts w:ascii="Times New Roman" w:hAnsi="Times New Roman" w:cs="Times New Roman" w:eastAsia="Times New Roman"/>
          <w:b/>
          <w:color w:val="auto"/>
          <w:spacing w:val="0"/>
          <w:position w:val="0"/>
          <w:sz w:val="22"/>
          <w:shd w:fill="auto" w:val="clear"/>
        </w:rPr>
        <w:t xml:space="preserve">specific surface area, 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adsorption isotherms can be divided into five classes (</w:t>
      </w:r>
      <w:r>
        <w:rPr>
          <w:rFonts w:ascii="Times New Roman" w:hAnsi="Times New Roman" w:cs="Times New Roman" w:eastAsia="Times New Roman"/>
          <w:b/>
          <w:color w:val="auto"/>
          <w:spacing w:val="0"/>
          <w:position w:val="0"/>
          <w:sz w:val="22"/>
          <w:shd w:fill="auto" w:val="clear"/>
        </w:rPr>
        <w:t xml:space="preserve">Figure 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perscript"/>
        </w:rPr>
        <w:t xml:space="preserve">1-2</w:t>
      </w:r>
      <w:r>
        <w:rPr>
          <w:rFonts w:ascii="Times New Roman" w:hAnsi="Times New Roman" w:cs="Times New Roman" w:eastAsia="Times New Roman"/>
          <w:color w:val="auto"/>
          <w:spacing w:val="0"/>
          <w:position w:val="0"/>
          <w:sz w:val="22"/>
          <w:shd w:fill="auto" w:val="clear"/>
        </w:rPr>
        <w:t xml:space="preserve"> For physical adsorption, only types II or IV are relevant; the rest describe bonding isotherms (“chemical adsorption”). Type I is Langmuir, and types III and V are “swelling” isotherms often found with polymeric adsorbents. Points V</w:t>
      </w:r>
      <w:r>
        <w:rPr>
          <w:rFonts w:ascii="Times New Roman" w:hAnsi="Times New Roman" w:cs="Times New Roman" w:eastAsia="Times New Roman"/>
          <w:color w:val="auto"/>
          <w:spacing w:val="0"/>
          <w:position w:val="0"/>
          <w:sz w:val="22"/>
          <w:shd w:fill="auto" w:val="clear"/>
          <w:vertAlign w:val="subscript"/>
        </w:rPr>
        <w:t xml:space="preserve">ads</w:t>
      </w:r>
      <w:r>
        <w:rPr>
          <w:rFonts w:ascii="Times New Roman" w:hAnsi="Times New Roman" w:cs="Times New Roman" w:eastAsia="Times New Roman"/>
          <w:color w:val="auto"/>
          <w:spacing w:val="0"/>
          <w:position w:val="0"/>
          <w:sz w:val="22"/>
          <w:shd w:fill="auto" w:val="clear"/>
        </w:rPr>
        <w:t xml:space="preserve"> =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in types II and IV represent (approximately) the location of an adsorbed </w:t>
      </w:r>
      <w:r>
        <w:rPr>
          <w:rFonts w:ascii="Times New Roman" w:hAnsi="Times New Roman" w:cs="Times New Roman" w:eastAsia="Times New Roman"/>
          <w:b/>
          <w:color w:val="auto"/>
          <w:spacing w:val="0"/>
          <w:position w:val="0"/>
          <w:sz w:val="22"/>
          <w:shd w:fill="auto" w:val="clear"/>
        </w:rPr>
        <w:t xml:space="preserve">monolayer</w:t>
      </w:r>
      <w:r>
        <w:rPr>
          <w:rFonts w:ascii="Times New Roman" w:hAnsi="Times New Roman" w:cs="Times New Roman" w:eastAsia="Times New Roman"/>
          <w:color w:val="auto"/>
          <w:spacing w:val="0"/>
          <w:position w:val="0"/>
          <w:sz w:val="22"/>
          <w:shd w:fill="auto" w:val="clear"/>
        </w:rPr>
        <w:t xml:space="preserve">. The remainder of the curve represents multilayer adsorption and then capillary condensation.</w:t>
      </w:r>
    </w:p>
    <w:p>
      <w:pPr>
        <w:spacing w:before="0" w:after="0" w:line="240"/>
        <w:ind w:right="0" w:left="0" w:firstLine="72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object w:dxaOrig="6013" w:dyaOrig="3856">
          <v:rect xmlns:o="urn:schemas-microsoft-com:office:office" xmlns:v="urn:schemas-microsoft-com:vml" id="rectole0000000000" style="width:300.650000pt;height:192.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72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Brunauer’s classification of adsorption isotherms.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The three isotherm equations most frequently used are those due to Langmuir; Freundlich; and Brunauer, Emmett, and Teller (</w:t>
      </w:r>
      <w:r>
        <w:rPr>
          <w:rFonts w:ascii="Times New Roman" w:hAnsi="Times New Roman" w:cs="Times New Roman" w:eastAsia="Times New Roman"/>
          <w:b/>
          <w:i/>
          <w:color w:val="auto"/>
          <w:spacing w:val="0"/>
          <w:position w:val="0"/>
          <w:sz w:val="22"/>
          <w:shd w:fill="auto" w:val="clear"/>
        </w:rPr>
        <w:t xml:space="preserve">BET</w:t>
      </w:r>
      <w:r>
        <w:rPr>
          <w:rFonts w:ascii="Times New Roman" w:hAnsi="Times New Roman" w:cs="Times New Roman" w:eastAsia="Times New Roman"/>
          <w:color w:val="auto"/>
          <w:spacing w:val="0"/>
          <w:position w:val="0"/>
          <w:sz w:val="22"/>
          <w:shd w:fill="auto" w:val="clear"/>
        </w:rPr>
        <w:t xml:space="preserve">). Only the BET equation can relate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and the adsorption energy parameters of a </w:t>
      </w:r>
      <w:r>
        <w:rPr>
          <w:rFonts w:ascii="Times New Roman" w:hAnsi="Times New Roman" w:cs="Times New Roman" w:eastAsia="Times New Roman"/>
          <w:b/>
          <w:color w:val="auto"/>
          <w:spacing w:val="0"/>
          <w:position w:val="0"/>
          <w:sz w:val="22"/>
          <w:shd w:fill="auto" w:val="clear"/>
        </w:rPr>
        <w:t xml:space="preserve">vapor</w:t>
      </w:r>
      <w:r>
        <w:rPr>
          <w:rFonts w:ascii="Times New Roman" w:hAnsi="Times New Roman" w:cs="Times New Roman" w:eastAsia="Times New Roman"/>
          <w:color w:val="auto"/>
          <w:spacing w:val="0"/>
          <w:position w:val="0"/>
          <w:sz w:val="22"/>
          <w:shd w:fill="auto" w:val="clear"/>
        </w:rPr>
        <w:t xml:space="preserve"> to </w:t>
      </w:r>
      <w:r>
        <w:rPr>
          <w:rFonts w:ascii="Times New Roman" w:hAnsi="Times New Roman" w:cs="Times New Roman" w:eastAsia="Times New Roman"/>
          <w:b/>
          <w:color w:val="auto"/>
          <w:spacing w:val="0"/>
          <w:position w:val="0"/>
          <w:sz w:val="22"/>
          <w:shd w:fill="auto" w:val="clear"/>
        </w:rPr>
        <w:t xml:space="preserve">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w:t>
      </w:r>
      <w:r>
        <w:rPr>
          <w:rFonts w:ascii="Times New Roman" w:hAnsi="Times New Roman" w:cs="Times New Roman" w:eastAsia="Times New Roman"/>
          <w:b/>
          <w:color w:val="auto"/>
          <w:spacing w:val="0"/>
          <w:position w:val="0"/>
          <w:sz w:val="22"/>
          <w:shd w:fill="auto" w:val="clear"/>
        </w:rPr>
        <w:t xml:space="preserve">adsorbate</w:t>
      </w:r>
      <w:r>
        <w:rPr>
          <w:rFonts w:ascii="Times New Roman" w:hAnsi="Times New Roman" w:cs="Times New Roman" w:eastAsia="Times New Roman"/>
          <w:color w:val="auto"/>
          <w:spacing w:val="0"/>
          <w:position w:val="0"/>
          <w:sz w:val="22"/>
          <w:shd w:fill="auto" w:val="clear"/>
        </w:rPr>
        <w:t xml:space="preserve"> is a compound in a gas or liquid phase that attaches to the surface of the solid adsorbent being investigated. </w:t>
      </w:r>
      <w:r>
        <w:rPr>
          <w:rFonts w:ascii="Times New Roman" w:hAnsi="Times New Roman" w:cs="Times New Roman" w:eastAsia="Times New Roman"/>
          <w:b/>
          <w:color w:val="auto"/>
          <w:spacing w:val="0"/>
          <w:position w:val="0"/>
          <w:sz w:val="22"/>
          <w:shd w:fill="auto" w:val="clear"/>
        </w:rPr>
        <w:t xml:space="preserve">Physical adsorption</w:t>
      </w:r>
      <w:r>
        <w:rPr>
          <w:rFonts w:ascii="Times New Roman" w:hAnsi="Times New Roman" w:cs="Times New Roman" w:eastAsia="Times New Roman"/>
          <w:b/>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depends upon weak intermolecular forces only. The H of such adsorption is &amp;lt;3 times the heat of vaporization. It is only important at low temperatures near and below the adsorbate’s saturation temperature. The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adsorption/desorption used in the porosimeter takes place at the normal boiling point of liquid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(77 K). The process is rapid and reversible. A </w:t>
      </w:r>
      <w:r>
        <w:rPr>
          <w:rFonts w:ascii="Times New Roman" w:hAnsi="Times New Roman" w:cs="Times New Roman" w:eastAsia="Times New Roman"/>
          <w:b/>
          <w:color w:val="auto"/>
          <w:spacing w:val="0"/>
          <w:position w:val="0"/>
          <w:sz w:val="22"/>
          <w:shd w:fill="auto" w:val="clear"/>
        </w:rPr>
        <w:t xml:space="preserve">monolayer</w:t>
      </w:r>
      <w:r>
        <w:rPr>
          <w:rFonts w:ascii="Times New Roman" w:hAnsi="Times New Roman" w:cs="Times New Roman" w:eastAsia="Times New Roman"/>
          <w:color w:val="auto"/>
          <w:spacing w:val="0"/>
          <w:position w:val="0"/>
          <w:sz w:val="22"/>
          <w:shd w:fill="auto" w:val="clear"/>
        </w:rPr>
        <w:t xml:space="preserve"> is a single layer of molecules completely covering the pore surfaces of a porous material.</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interior of a porosimeter contains two chambers with one sensitive pressure transducer, a flow controller to chamber 1, and a vacuum pump. Chamber 1 contains the transducer and is held at room temperature. Chamber 2 contains the sample and sits in a liquid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bath. To operate a nitrogen porosimeter, first both chambers are evacuated. Then a small amount of nitrogen is added into Chamber 1. The amount of gas admitted (N</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can be calculated from V</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the pressure transducer, and the ideal gas law.</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 xml:space="preserve">(1)</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P</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is the increase in pressure read by the transducer. Once the valve between the two chambers, ~5 min elapses during which adsorption occur in chamber 2 and the system eventually comes to equilibrium. The adsorption onto the surface removes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from the gas phase, lowering the pressure read by the transducer. The amount adsorbed during this step is: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ab/>
        <w:t xml:space="preserve">(2)</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Steps (2 - 3) are repeated until a pressure near the saturation 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is reached. This procedure constitutes the “adsorption branch” of the cycle. For desorption, the process is reversed. More is involved in this process than is presented here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the sample volume must also be accounted for, the temperature of the liquid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bath must be known precisely, and a non-ideality correction is usually applied). For each cycle of steps (2 - 3) one datum of amount adsorbed (usually expressed as gas volume V</w:t>
      </w:r>
      <w:r>
        <w:rPr>
          <w:rFonts w:ascii="Times New Roman" w:hAnsi="Times New Roman" w:cs="Times New Roman" w:eastAsia="Times New Roman"/>
          <w:color w:val="auto"/>
          <w:spacing w:val="0"/>
          <w:position w:val="0"/>
          <w:sz w:val="22"/>
          <w:shd w:fill="auto" w:val="clear"/>
          <w:vertAlign w:val="subscript"/>
        </w:rPr>
        <w:t xml:space="preserve">ads</w:t>
      </w:r>
      <w:r>
        <w:rPr>
          <w:rFonts w:ascii="Times New Roman" w:hAnsi="Times New Roman" w:cs="Times New Roman" w:eastAsia="Times New Roman"/>
          <w:color w:val="auto"/>
          <w:spacing w:val="0"/>
          <w:position w:val="0"/>
          <w:sz w:val="22"/>
          <w:shd w:fill="auto" w:val="clear"/>
        </w:rPr>
        <w:t xml:space="preserve">, again using the ideal gas law) vs. pressure (expressed as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is collected. All data collected at a fixed temperature is called an </w:t>
      </w:r>
      <w:r>
        <w:rPr>
          <w:rFonts w:ascii="Times New Roman" w:hAnsi="Times New Roman" w:cs="Times New Roman" w:eastAsia="Times New Roman"/>
          <w:b/>
          <w:i/>
          <w:color w:val="auto"/>
          <w:spacing w:val="0"/>
          <w:position w:val="0"/>
          <w:sz w:val="22"/>
          <w:shd w:fill="auto" w:val="clear"/>
        </w:rPr>
        <w:t xml:space="preserve">adsorption isotherm</w:t>
      </w:r>
      <w:r>
        <w:rPr>
          <w:rFonts w:ascii="Times New Roman" w:hAnsi="Times New Roman" w:cs="Times New Roman" w:eastAsia="Times New Roman"/>
          <w:color w:val="auto"/>
          <w:spacing w:val="0"/>
          <w:position w:val="0"/>
          <w:sz w:val="22"/>
          <w:shd w:fill="auto" w:val="clear"/>
        </w:rPr>
        <w:t xml:space="preserve"> (when P</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is increased successively) or a </w:t>
      </w:r>
      <w:r>
        <w:rPr>
          <w:rFonts w:ascii="Times New Roman" w:hAnsi="Times New Roman" w:cs="Times New Roman" w:eastAsia="Times New Roman"/>
          <w:b/>
          <w:i/>
          <w:color w:val="auto"/>
          <w:spacing w:val="0"/>
          <w:position w:val="0"/>
          <w:sz w:val="22"/>
          <w:shd w:fill="auto" w:val="clear"/>
        </w:rPr>
        <w:t xml:space="preserve">desorption isotherm</w:t>
      </w:r>
      <w:r>
        <w:rPr>
          <w:rFonts w:ascii="Times New Roman" w:hAnsi="Times New Roman" w:cs="Times New Roman" w:eastAsia="Times New Roman"/>
          <w:color w:val="auto"/>
          <w:spacing w:val="0"/>
          <w:position w:val="0"/>
          <w:sz w:val="22"/>
          <w:shd w:fill="auto" w:val="clear"/>
        </w:rPr>
        <w:t xml:space="preserve"> (when P</w:t>
      </w:r>
      <w:r>
        <w:rPr>
          <w:rFonts w:ascii="Times New Roman" w:hAnsi="Times New Roman" w:cs="Times New Roman" w:eastAsia="Times New Roman"/>
          <w:color w:val="auto"/>
          <w:spacing w:val="0"/>
          <w:position w:val="0"/>
          <w:sz w:val="22"/>
          <w:shd w:fill="auto" w:val="clear"/>
          <w:vertAlign w:val="subscript"/>
        </w:rPr>
        <w:t xml:space="preserve">2 </w:t>
      </w:r>
      <w:r>
        <w:rPr>
          <w:rFonts w:ascii="Times New Roman" w:hAnsi="Times New Roman" w:cs="Times New Roman" w:eastAsia="Times New Roman"/>
          <w:color w:val="auto"/>
          <w:spacing w:val="0"/>
          <w:position w:val="0"/>
          <w:sz w:val="22"/>
          <w:shd w:fill="auto" w:val="clear"/>
        </w:rPr>
        <w:t xml:space="preserve">is lowered).</w:t>
      </w:r>
    </w:p>
    <w:p>
      <w:pPr>
        <w:spacing w:before="0" w:after="120" w:line="240"/>
        <w:ind w:right="0" w:left="0" w:firstLine="432"/>
        <w:jc w:val="left"/>
        <w:rPr>
          <w:rFonts w:ascii="Times New Roman" w:hAnsi="Times New Roman" w:cs="Times New Roman" w:eastAsia="Times New Roman"/>
          <w:color w:val="auto"/>
          <w:spacing w:val="0"/>
          <w:position w:val="-4"/>
          <w:sz w:val="22"/>
          <w:shd w:fill="auto" w:val="clear"/>
        </w:rPr>
      </w:pPr>
      <w:r>
        <w:rPr>
          <w:rFonts w:ascii="Times New Roman" w:hAnsi="Times New Roman" w:cs="Times New Roman" w:eastAsia="Times New Roman"/>
          <w:color w:val="auto"/>
          <w:spacing w:val="0"/>
          <w:position w:val="0"/>
          <w:sz w:val="22"/>
          <w:shd w:fill="auto" w:val="clear"/>
        </w:rPr>
        <w:t xml:space="preserve">The BET isotherm follows two assumptions. The first assumption is that each molecule in the first adsorbed layer (the monolayer) provides only one site for the second and subsequent (multi-)layers. Adsorption initially takes place layer by layer. The second assumption is that the heat of adsorption, H</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applies to the first monolayer, whereas the heat of liquefaction of the vapor, H</w:t>
      </w:r>
      <w:r>
        <w:rPr>
          <w:rFonts w:ascii="Times New Roman" w:hAnsi="Times New Roman" w:cs="Times New Roman" w:eastAsia="Times New Roman"/>
          <w:color w:val="auto"/>
          <w:spacing w:val="0"/>
          <w:position w:val="-4"/>
          <w:sz w:val="22"/>
          <w:shd w:fill="auto" w:val="clear"/>
        </w:rPr>
        <w:t xml:space="preserve">L, applies to adsorption in layers 2, 3 etc. Brunauer </w:t>
      </w:r>
      <w:r>
        <w:rPr>
          <w:rFonts w:ascii="Times New Roman" w:hAnsi="Times New Roman" w:cs="Times New Roman" w:eastAsia="Times New Roman"/>
          <w:i/>
          <w:color w:val="auto"/>
          <w:spacing w:val="0"/>
          <w:position w:val="-4"/>
          <w:sz w:val="22"/>
          <w:shd w:fill="auto" w:val="clear"/>
        </w:rPr>
        <w:t xml:space="preserve">et al.</w:t>
      </w:r>
      <w:r>
        <w:rPr>
          <w:rFonts w:ascii="Times New Roman" w:hAnsi="Times New Roman" w:cs="Times New Roman" w:eastAsia="Times New Roman"/>
          <w:color w:val="auto"/>
          <w:spacing w:val="0"/>
          <w:position w:val="-4"/>
          <w:sz w:val="22"/>
          <w:shd w:fill="auto" w:val="clear"/>
        </w:rPr>
        <w:t xml:space="preserve"> simplified the estimation of V</w:t>
      </w:r>
      <w:r>
        <w:rPr>
          <w:rFonts w:ascii="Times New Roman" w:hAnsi="Times New Roman" w:cs="Times New Roman" w:eastAsia="Times New Roman"/>
          <w:color w:val="auto"/>
          <w:spacing w:val="0"/>
          <w:position w:val="-4"/>
          <w:sz w:val="22"/>
          <w:shd w:fill="auto" w:val="clear"/>
          <w:vertAlign w:val="subscript"/>
        </w:rPr>
        <w:t xml:space="preserve">m</w:t>
      </w:r>
      <w:r>
        <w:rPr>
          <w:rFonts w:ascii="Times New Roman" w:hAnsi="Times New Roman" w:cs="Times New Roman" w:eastAsia="Times New Roman"/>
          <w:color w:val="auto"/>
          <w:spacing w:val="0"/>
          <w:position w:val="-4"/>
          <w:sz w:val="22"/>
          <w:shd w:fill="auto" w:val="clear"/>
        </w:rPr>
        <w:t xml:space="preserve"> and the energy parameters to the following isotherm equation:</w:t>
      </w:r>
      <w:r>
        <w:rPr>
          <w:rFonts w:ascii="Times New Roman" w:hAnsi="Times New Roman" w:cs="Times New Roman" w:eastAsia="Times New Roman"/>
          <w:color w:val="auto"/>
          <w:spacing w:val="0"/>
          <w:position w:val="-4"/>
          <w:sz w:val="22"/>
          <w:shd w:fill="auto" w:val="clear"/>
          <w:vertAlign w:val="superscript"/>
        </w:rPr>
        <w:t xml:space="preserve">2</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(3)</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(4)</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is the saturation pressure at a given temperature, T. This expression represents a type II or IV isotherm in the range 0.05 &amp;lt; P/P</w:t>
      </w:r>
      <w:r>
        <w:rPr>
          <w:rFonts w:ascii="Times New Roman" w:hAnsi="Times New Roman" w:cs="Times New Roman" w:eastAsia="Times New Roman"/>
          <w:color w:val="auto"/>
          <w:spacing w:val="0"/>
          <w:position w:val="0"/>
          <w:sz w:val="22"/>
          <w:shd w:fill="auto" w:val="clear"/>
          <w:vertAlign w:val="subscript"/>
        </w:rPr>
        <w:t xml:space="preserve">0 </w:t>
      </w:r>
      <w:r>
        <w:rPr>
          <w:rFonts w:ascii="Times New Roman" w:hAnsi="Times New Roman" w:cs="Times New Roman" w:eastAsia="Times New Roman"/>
          <w:color w:val="auto"/>
          <w:spacing w:val="0"/>
          <w:position w:val="0"/>
          <w:sz w:val="22"/>
          <w:shd w:fill="auto" w:val="clear"/>
        </w:rPr>
        <w:t xml:space="preserve">&amp;lt; 0.35. There is a progression from multilayer adsorption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to ~0.3-0.35) to capillary condensation (higher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in which the smaller pores become completely filled. This occurs because the fugacity (vapor pressure) in a small pore is reduced, in accordance with the Kelvin equation </w:t>
      </w:r>
      <w:r>
        <w:rPr>
          <w:rFonts w:ascii="Times New Roman" w:hAnsi="Times New Roman" w:cs="Times New Roman" w:eastAsia="Times New Roman"/>
          <w:b/>
          <w:color w:val="auto"/>
          <w:spacing w:val="0"/>
          <w:position w:val="0"/>
          <w:sz w:val="22"/>
          <w:shd w:fill="auto" w:val="clear"/>
        </w:rPr>
        <w:t xml:space="preserve">(Equation 5)</w:t>
      </w:r>
      <w:r>
        <w:rPr>
          <w:rFonts w:ascii="Times New Roman" w:hAnsi="Times New Roman" w:cs="Times New Roman" w:eastAsia="Times New Roman"/>
          <w:color w:val="auto"/>
          <w:spacing w:val="0"/>
          <w:position w:val="0"/>
          <w:sz w:val="22"/>
          <w:shd w:fill="auto" w:val="clear"/>
        </w:rPr>
        <w:t xml:space="preserve">, by the surface tension (&amp;#963;).</w:t>
      </w:r>
      <w:r>
        <w:rPr>
          <w:rFonts w:ascii="Times New Roman" w:hAnsi="Times New Roman" w:cs="Times New Roman" w:eastAsia="Times New Roman"/>
          <w:color w:val="auto"/>
          <w:spacing w:val="0"/>
          <w:position w:val="0"/>
          <w:sz w:val="22"/>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left-hand side gives the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at which capillary condensation takes place in a </w:t>
      </w:r>
      <w:r>
        <w:rPr>
          <w:rFonts w:ascii="Times New Roman" w:hAnsi="Times New Roman" w:cs="Times New Roman" w:eastAsia="Times New Roman"/>
          <w:b/>
          <w:color w:val="auto"/>
          <w:spacing w:val="0"/>
          <w:position w:val="0"/>
          <w:sz w:val="22"/>
          <w:shd w:fill="auto" w:val="clear"/>
        </w:rPr>
        <w:t xml:space="preserve">cylindrical</w:t>
      </w:r>
      <w:r>
        <w:rPr>
          <w:rFonts w:ascii="Times New Roman" w:hAnsi="Times New Roman" w:cs="Times New Roman" w:eastAsia="Times New Roman"/>
          <w:color w:val="auto"/>
          <w:spacing w:val="0"/>
          <w:position w:val="0"/>
          <w:sz w:val="22"/>
          <w:shd w:fill="auto" w:val="clear"/>
        </w:rPr>
        <w:t xml:space="preserve"> pore with adsorbate contact angle  and pore diameter D. The capillary effect is significant only in pores &amp;lt;~200 nm in diameter. Pores larger than this are uncommon in most commercial porous adsorbents and catalysts.</w:t>
      </w:r>
    </w:p>
    <w:p>
      <w:pPr>
        <w:spacing w:before="100" w:after="1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Starting the porosimeter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Start the porosimeter and allow it to stabilize.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Weigh the plastic tube holder, sample tube, glass insert, and plastic valve that screws into the top of the tube.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Then load the sample in the tube and re-weigh. When loading, try to get at least 20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of total surface area in the tube. Look up a typical surface area range for the type of solid you are using. However, never use less than 50 mg of sample.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Using the software for the porosimeter, initialize a new sample by clicking ‘File’ followed by ‘New Sample’ and select the appropriate method. Enter both weights (apparatus and apparatus + sample) into the program and rename the sample.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Load the sample and O-ring into the degas port and adjust the degas conditions as needed. The following program should be followed: the sample should first be heated and evacuated to 12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2"/>
          <w:shd w:fill="auto" w:val="clear"/>
        </w:rPr>
        <w:t xml:space="preserve">m of Hg at a low temperature (90 &amp;#176;C) during the ‘Evacuation Phase’. Then, ramp to the desired final temperature (usually 300 &amp;#176;C for inorganic materials and carbons) and hold for the desired time (the “Heating Phase”).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Load the sample tube and O-ring into the sample port. Push upwards on the tube slightly before turning the nut to engage the pin that opens the plastic valve can engage. Make sure to hold the tube vertically.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Place a heating mantle under the bulb holding the sample tube, and support the heating mantle with a lab jack. Do not wiggle the bulb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hold the mantle firmly.</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Show the degas schematic by clicking under “Degas” and selecting “Show degas schematic”. Select “Unit 1”, then “Start Degas.” Click “Browse” to select your sample file(s), then “Start”. The degas phase removes all traces of water and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from the sample before the adsorption experiment.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cannot displace both water and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Once the desired pressure and temperature have been reached, degas steps can be skipped.</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When the degas phase reaches the “cool down” step, lower the heating mantle and let the sample tube cool to room temperature.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w:t>
        <w:tab/>
        <w:t xml:space="preserve">Backfill the sample with helium. If the pressure does not approach 800 mm Hg, then the sample tube may have popped out of the fitting. If necessary, hold in place with your hands.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w:t>
        <w:tab/>
        <w:t xml:space="preserve">Once degassing is complete, weigh the sample and apparatus and edit the mass in the sample file.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Porosimetry measurement</w:t>
      </w:r>
    </w:p>
    <w:p>
      <w:pPr>
        <w:spacing w:before="0" w:after="120" w:line="240"/>
        <w:ind w:right="0" w:left="3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 Fill the porosimeter’s Dewar flask with liquid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Put the plastic jacket on the sample tube, and load the sample and O-ring in the port above the Dewar flask. Attach the plastic insulating cover on the Dewar near the sample port.</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 Click ‘Unit 1’, then ‘Sample Analysis’. Browse for the degassed sample file, then click ‘Start’ to begin taking measurements.</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Ensure the initial evacuation completes successfully. If that fails, try re-setting the tube in the port (check the O-ring and re-tighten the nut). Measurements will be collected automatically over several hours. Results can be downloaded into an Excel spreadsheet.</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10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capillary condensation region, the isotherm generally shows hysteresis so that the apparent equilibrium pressures observed in adsorption and desorption experiments are different (</w:t>
      </w: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The desorption branch is always at lower fugacity and pressure. The hysteresis begins at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 ~0.6, where capillary condensation begins to dominate the adsorption process, although the pore size distribution algorithm uses the entire isotherm.  The calculated total pore volume, using the ideal gas law and the molar volume of liquid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is 0.63 cm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/g.</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object w:dxaOrig="8294" w:dyaOrig="4497">
          <v:rect xmlns:o="urn:schemas-microsoft-com:office:office" xmlns:v="urn:schemas-microsoft-com:vml" id="rectole0000000001" style="width:414.700000pt;height:224.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Volume adsorbed (gas phase basis) vs. relative pressure (the isotherm) for N</w:t>
      </w:r>
      <w:r>
        <w:rPr>
          <w:rFonts w:ascii="Times New Roman" w:hAnsi="Times New Roman" w:cs="Times New Roman" w:eastAsia="Times New Roman"/>
          <w:b/>
          <w:color w:val="auto"/>
          <w:spacing w:val="0"/>
          <w:position w:val="0"/>
          <w:sz w:val="22"/>
          <w:shd w:fill="auto" w:val="clear"/>
          <w:vertAlign w:val="subscript"/>
        </w:rPr>
        <w:t xml:space="preserve">2</w:t>
      </w:r>
      <w:r>
        <w:rPr>
          <w:rFonts w:ascii="Times New Roman" w:hAnsi="Times New Roman" w:cs="Times New Roman" w:eastAsia="Times New Roman"/>
          <w:b/>
          <w:color w:val="auto"/>
          <w:spacing w:val="0"/>
          <w:position w:val="0"/>
          <w:sz w:val="22"/>
          <w:shd w:fill="auto" w:val="clear"/>
        </w:rPr>
        <w:t xml:space="preserve"> adsorption on silica-alumina S/N 3001.</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Two explanations for this effect have been proposed.</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During adsorption, multilayers build up on pore walls, but a complete meniscus is not formed until saturation is reached. Therefore, the surface area for adsorption (the wall surfaces) exceeds that of desorption (meniscus only) in the capillary condensation region. The adsorption branch of the isotherm is therefore governed by a multilayer isotherm analogous to the BET equation, but desorption in the capillary condensation region is governed by the Kelvin equation </w:t>
      </w:r>
      <w:r>
        <w:rPr>
          <w:rFonts w:ascii="Times New Roman" w:hAnsi="Times New Roman" w:cs="Times New Roman" w:eastAsia="Times New Roman"/>
          <w:b/>
          <w:color w:val="auto"/>
          <w:spacing w:val="0"/>
          <w:position w:val="0"/>
          <w:sz w:val="22"/>
          <w:shd w:fill="auto" w:val="clear"/>
        </w:rPr>
        <w:t xml:space="preserve">(Equation 5)</w:t>
      </w:r>
      <w:r>
        <w:rPr>
          <w:rFonts w:ascii="Times New Roman" w:hAnsi="Times New Roman" w:cs="Times New Roman" w:eastAsia="Times New Roman"/>
          <w:color w:val="auto"/>
          <w:spacing w:val="0"/>
          <w:position w:val="0"/>
          <w:sz w:val="22"/>
          <w:shd w:fill="auto" w:val="clear"/>
        </w:rPr>
        <w:t xml:space="preserve">. The differences in the branches arise from a difference in the shape of the meniscus. During adsorption the pore fills radially and a cylindrical meniscus is formed. During desorption, the meniscus is hemispherical and the Kelvin equation applies. By either argument, only the desorption isotherm should be used to calculate the pore size distribution in the hysteresis region, although neither argument is entirely correct. Disagreements from theory arise from deviations in the shape of the pores from simple cylindrical geometry and from the fact that transmission electron microscopy and other techniques suggest that BOTH explanations are partly correct. In particular, the physics of adsorption dictates that there must be some adsorbed material in the pores, clinging to the walls even below the Kelvin P</w:t>
      </w:r>
      <w:r>
        <w:rPr>
          <w:rFonts w:ascii="Times New Roman" w:hAnsi="Times New Roman" w:cs="Times New Roman" w:eastAsia="Times New Roman"/>
          <w:color w:val="auto"/>
          <w:spacing w:val="0"/>
          <w:position w:val="0"/>
          <w:sz w:val="22"/>
          <w:shd w:fill="auto" w:val="clear"/>
          <w:vertAlign w:val="subscript"/>
        </w:rPr>
        <w:t xml:space="preserve">v</w:t>
      </w:r>
      <w:r>
        <w:rPr>
          <w:rFonts w:ascii="Times New Roman" w:hAnsi="Times New Roman" w:cs="Times New Roman" w:eastAsia="Times New Roman"/>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The space occupied by this multilayer adsorbed material must be corrected for in the Kelvin pore size calculation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this is called 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t-plot correction</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in the literature. Various theoretical equations can be used to calculate this adsorbed layer thickness (</w:t>
      </w:r>
      <w:r>
        <w:rPr>
          <w:rFonts w:ascii="Times New Roman" w:hAnsi="Times New Roman" w:cs="Times New Roman" w:eastAsia="Times New Roman"/>
          <w:b/>
          <w:color w:val="auto"/>
          <w:spacing w:val="0"/>
          <w:position w:val="0"/>
          <w:sz w:val="22"/>
          <w:shd w:fill="auto" w:val="clear"/>
        </w:rPr>
        <w:t xml:space="preserve">= t</w:t>
      </w:r>
      <w:r>
        <w:rPr>
          <w:rFonts w:ascii="Times New Roman" w:hAnsi="Times New Roman" w:cs="Times New Roman" w:eastAsia="Times New Roman"/>
          <w:color w:val="auto"/>
          <w:spacing w:val="0"/>
          <w:position w:val="0"/>
          <w:sz w:val="22"/>
          <w:shd w:fill="auto" w:val="clear"/>
        </w:rPr>
        <w:t xml:space="preserve">), as a function of P/P</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For our system, the Halsey-Faas correction to obtain </w:t>
      </w:r>
      <w:r>
        <w:rPr>
          <w:rFonts w:ascii="Times New Roman" w:hAnsi="Times New Roman" w:cs="Times New Roman" w:eastAsia="Times New Roman"/>
          <w:b/>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 is used automatically in the machine software, and the pore size distribution for both branches computed automatically.</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2"/>
          <w:shd w:fill="auto" w:val="clear"/>
        </w:rPr>
        <w:t xml:space="preserve">The BET equation yields a straight line when plotted linearly (see </w:t>
      </w:r>
      <w:r>
        <w:rPr>
          <w:rFonts w:ascii="Times New Roman" w:hAnsi="Times New Roman" w:cs="Times New Roman" w:eastAsia="Times New Roman"/>
          <w:b/>
          <w:color w:val="auto"/>
          <w:spacing w:val="0"/>
          <w:position w:val="0"/>
          <w:sz w:val="22"/>
          <w:shd w:fill="auto" w:val="clear"/>
        </w:rPr>
        <w:t xml:space="preserve">Equation 3</w:t>
      </w:r>
      <w:r>
        <w:rPr>
          <w:rFonts w:ascii="Times New Roman" w:hAnsi="Times New Roman" w:cs="Times New Roman" w:eastAsia="Times New Roman"/>
          <w:color w:val="auto"/>
          <w:spacing w:val="0"/>
          <w:position w:val="0"/>
          <w:sz w:val="22"/>
          <w:shd w:fill="auto" w:val="clear"/>
        </w:rPr>
        <w:t xml:space="preserve">), to give </w:t>
      </w: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vertAlign w:val="subscript"/>
        </w:rPr>
        <w:t xml:space="preserve">m</w:t>
      </w:r>
      <w:r>
        <w:rPr>
          <w:rFonts w:ascii="Times New Roman" w:hAnsi="Times New Roman" w:cs="Times New Roman" w:eastAsia="Times New Roman"/>
          <w:b/>
          <w:color w:val="auto"/>
          <w:spacing w:val="0"/>
          <w:position w:val="0"/>
          <w:sz w:val="22"/>
          <w:shd w:fill="auto" w:val="clear"/>
        </w:rPr>
        <w:t xml:space="preserve"> and c</w:t>
      </w:r>
      <w:r>
        <w:rPr>
          <w:rFonts w:ascii="Times New Roman" w:hAnsi="Times New Roman" w:cs="Times New Roman" w:eastAsia="Times New Roman"/>
          <w:color w:val="auto"/>
          <w:spacing w:val="0"/>
          <w:position w:val="0"/>
          <w:sz w:val="22"/>
          <w:shd w:fill="auto" w:val="clear"/>
        </w:rPr>
        <w:t xml:space="preserve"> from the slope and intercept. The specific surface area, </w:t>
      </w:r>
      <w:r>
        <w:rPr>
          <w:rFonts w:ascii="Times New Roman" w:hAnsi="Times New Roman" w:cs="Times New Roman" w:eastAsia="Times New Roman"/>
          <w:b/>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found assuming the average area occupied by one molecule of adsorbate (</w:t>
      </w:r>
      <w:r>
        <w:rPr>
          <w:rFonts w:ascii="Times New Roman" w:hAnsi="Times New Roman" w:cs="Times New Roman" w:eastAsia="Times New Roman"/>
          <w:b/>
          <w:color w:val="auto"/>
          <w:spacing w:val="0"/>
          <w:position w:val="0"/>
          <w:sz w:val="22"/>
          <w:shd w:fill="auto" w:val="clear"/>
        </w:rPr>
        <w:t xml:space="preserve">a</w:t>
      </w:r>
      <w:r>
        <w:rPr>
          <w:rFonts w:ascii="Times New Roman" w:hAnsi="Times New Roman" w:cs="Times New Roman" w:eastAsia="Times New Roman"/>
          <w:b/>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is known (for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0.1620 nm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perscript"/>
        </w:rPr>
        <w:t xml:space="preserve">3</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vertAlign w:val="superscript"/>
        </w:rPr>
      </w:pPr>
    </w:p>
    <w:p>
      <w:pPr>
        <w:spacing w:before="0" w:after="0" w:line="240"/>
        <w:ind w:right="0" w:left="0" w:firstLine="0"/>
        <w:jc w:val="right"/>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5"/>
          <w:sz w:val="22"/>
          <w:shd w:fill="auto" w:val="clear"/>
        </w:rPr>
        <w:tab/>
        <w:tab/>
        <w:tab/>
        <w:tab/>
        <w:tab/>
        <w:tab/>
        <w:t xml:space="preserve">(6)</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0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 cm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/g, A [=]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and L = Avogadro’s number.</w:t>
      </w:r>
    </w:p>
    <w:p>
      <w:pPr>
        <w:spacing w:before="10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typical BET plot (</w:t>
      </w:r>
      <w:r>
        <w:rPr>
          <w:rFonts w:ascii="Times New Roman" w:hAnsi="Times New Roman" w:cs="Times New Roman" w:eastAsia="Times New Roman"/>
          <w:b/>
          <w:color w:val="auto"/>
          <w:spacing w:val="0"/>
          <w:position w:val="0"/>
          <w:sz w:val="22"/>
          <w:shd w:fill="auto" w:val="clear"/>
        </w:rPr>
        <w:t xml:space="preserve">Figure 3</w:t>
      </w:r>
      <w:r>
        <w:rPr>
          <w:rFonts w:ascii="Times New Roman" w:hAnsi="Times New Roman" w:cs="Times New Roman" w:eastAsia="Times New Roman"/>
          <w:color w:val="auto"/>
          <w:spacing w:val="0"/>
          <w:position w:val="0"/>
          <w:sz w:val="22"/>
          <w:shd w:fill="auto" w:val="clear"/>
        </w:rPr>
        <w:t xml:space="preserve">) showing data and regression fit is shown below. The value of R</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(correlation coefficient) and the average relative deviation of the fit are reported. The confidence limits on the slope and intercept from the linear regression can be used to estimate the confidence limit on </w:t>
      </w:r>
      <w:r>
        <w:rPr>
          <w:rFonts w:ascii="Times New Roman" w:hAnsi="Times New Roman" w:cs="Times New Roman" w:eastAsia="Times New Roman"/>
          <w:b/>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from propagation of error theory. The regressed (predicted) values are:  c = 139,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 49.3 cm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/g STP, A = 214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R</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 0.9998, ARD = 0.59%.</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object w:dxaOrig="6923" w:dyaOrig="4204">
          <v:rect xmlns:o="urn:schemas-microsoft-com:office:office" xmlns:v="urn:schemas-microsoft-com:vml" id="rectole0000000002" style="width:346.150000pt;height:210.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100" w:after="10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BET plot for sample silica-alumina S/N 3001</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typical pore size distribution for the same sample is shown in </w:t>
      </w:r>
      <w:r>
        <w:rPr>
          <w:rFonts w:ascii="Times New Roman" w:hAnsi="Times New Roman" w:cs="Times New Roman" w:eastAsia="Times New Roman"/>
          <w:b/>
          <w:color w:val="auto"/>
          <w:spacing w:val="0"/>
          <w:position w:val="0"/>
          <w:sz w:val="22"/>
          <w:shd w:fill="auto" w:val="clear"/>
        </w:rPr>
        <w:t xml:space="preserve">Figure 4</w:t>
      </w:r>
      <w:r>
        <w:rPr>
          <w:rFonts w:ascii="Times New Roman" w:hAnsi="Times New Roman" w:cs="Times New Roman" w:eastAsia="Times New Roman"/>
          <w:color w:val="auto"/>
          <w:spacing w:val="0"/>
          <w:position w:val="0"/>
          <w:sz w:val="22"/>
          <w:shd w:fill="auto" w:val="clear"/>
        </w:rPr>
        <w:t xml:space="preserve">. For this sample, the average pore D from the distribution was calculated as 8.6 nm, while the cylindrical pore estimate (4 PV/A) was 8.0 nm (PV is pore volume/mass). This is fairly good agreement, suggesting that these pores are roughly cylindrical.</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Using both the adsorption and desorption dV/dD the average pore diameter can be determined from the properties of a probability distribution. Note that (dV/dD) x (dD) is the probability of adsorbed volume, expressed as a gas phase volume, at D. The desorption average, D, is always smaller than the adsorption average, as predicted by </w:t>
      </w:r>
      <w:r>
        <w:rPr>
          <w:rFonts w:ascii="Times New Roman" w:hAnsi="Times New Roman" w:cs="Times New Roman" w:eastAsia="Times New Roman"/>
          <w:b/>
          <w:color w:val="auto"/>
          <w:spacing w:val="0"/>
          <w:position w:val="0"/>
          <w:sz w:val="22"/>
          <w:shd w:fill="auto" w:val="clear"/>
        </w:rPr>
        <w:t xml:space="preserve">Equation 5</w:t>
      </w:r>
      <w:r>
        <w:rPr>
          <w:rFonts w:ascii="Times New Roman" w:hAnsi="Times New Roman" w:cs="Times New Roman" w:eastAsia="Times New Roman"/>
          <w:color w:val="auto"/>
          <w:spacing w:val="0"/>
          <w:position w:val="0"/>
          <w:sz w:val="22"/>
          <w:shd w:fill="auto" w:val="clear"/>
        </w:rPr>
        <w:t xml:space="preserve">. This is because, as shown in </w:t>
      </w: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its fugacities (P</w:t>
      </w:r>
      <w:r>
        <w:rPr>
          <w:rFonts w:ascii="Times New Roman" w:hAnsi="Times New Roman" w:cs="Times New Roman" w:eastAsia="Times New Roman"/>
          <w:color w:val="auto"/>
          <w:spacing w:val="0"/>
          <w:position w:val="0"/>
          <w:sz w:val="22"/>
          <w:shd w:fill="auto" w:val="clear"/>
          <w:vertAlign w:val="subscript"/>
        </w:rPr>
        <w:t xml:space="preserve">v</w:t>
      </w:r>
      <w:r>
        <w:rPr>
          <w:rFonts w:ascii="Times New Roman" w:hAnsi="Times New Roman" w:cs="Times New Roman" w:eastAsia="Times New Roman"/>
          <w:color w:val="auto"/>
          <w:spacing w:val="0"/>
          <w:position w:val="0"/>
          <w:sz w:val="22"/>
          <w:shd w:fill="auto" w:val="clear"/>
        </w:rPr>
        <w:t xml:space="preserve">, P</w:t>
      </w:r>
      <w:r>
        <w:rPr>
          <w:rFonts w:ascii="Times New Roman" w:hAnsi="Times New Roman" w:cs="Times New Roman" w:eastAsia="Times New Roman"/>
          <w:color w:val="auto"/>
          <w:spacing w:val="0"/>
          <w:position w:val="0"/>
          <w:sz w:val="22"/>
          <w:shd w:fill="auto" w:val="clear"/>
          <w:vertAlign w:val="subscript"/>
        </w:rPr>
        <w:t xml:space="preserve">v</w:t>
      </w:r>
      <w:r>
        <w:rPr>
          <w:rFonts w:ascii="Times New Roman" w:hAnsi="Times New Roman" w:cs="Times New Roman" w:eastAsia="Times New Roman"/>
          <w:color w:val="auto"/>
          <w:spacing w:val="0"/>
          <w:position w:val="0"/>
          <w:sz w:val="22"/>
          <w:shd w:fill="auto" w:val="clear"/>
        </w:rPr>
        <w:t xml:space="preserve"> = P) at a given V</w:t>
      </w:r>
      <w:r>
        <w:rPr>
          <w:rFonts w:ascii="Times New Roman" w:hAnsi="Times New Roman" w:cs="Times New Roman" w:eastAsia="Times New Roman"/>
          <w:color w:val="auto"/>
          <w:spacing w:val="0"/>
          <w:position w:val="0"/>
          <w:sz w:val="22"/>
          <w:shd w:fill="auto" w:val="clear"/>
          <w:vertAlign w:val="subscript"/>
        </w:rPr>
        <w:t xml:space="preserve">ads</w:t>
      </w:r>
      <w:r>
        <w:rPr>
          <w:rFonts w:ascii="Times New Roman" w:hAnsi="Times New Roman" w:cs="Times New Roman" w:eastAsia="Times New Roman"/>
          <w:color w:val="auto"/>
          <w:spacing w:val="0"/>
          <w:position w:val="0"/>
          <w:sz w:val="22"/>
          <w:shd w:fill="auto" w:val="clear"/>
        </w:rPr>
        <w:t xml:space="preserve"> are smaller.</w:t>
      </w:r>
    </w:p>
    <w:p>
      <w:pPr>
        <w:spacing w:before="120" w:after="100" w:line="240"/>
        <w:ind w:right="0" w:left="0" w:firstLine="0"/>
        <w:jc w:val="both"/>
        <w:rPr>
          <w:rFonts w:ascii="Times New Roman" w:hAnsi="Times New Roman" w:cs="Times New Roman" w:eastAsia="Times New Roman"/>
          <w:color w:val="auto"/>
          <w:spacing w:val="0"/>
          <w:position w:val="0"/>
          <w:sz w:val="22"/>
          <w:shd w:fill="auto" w:val="clear"/>
        </w:rPr>
      </w:pPr>
      <w:r>
        <w:object w:dxaOrig="8294" w:dyaOrig="4039">
          <v:rect xmlns:o="urn:schemas-microsoft-com:office:office" xmlns:v="urn:schemas-microsoft-com:vml" id="rectole0000000003" style="width:414.700000pt;height:201.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auto"/>
          <w:spacing w:val="0"/>
          <w:position w:val="0"/>
          <w:sz w:val="22"/>
          <w:shd w:fill="auto" w:val="clear"/>
        </w:rPr>
        <w:t xml:space="preserve"> </w:t>
      </w:r>
    </w:p>
    <w:p>
      <w:pPr>
        <w:spacing w:before="120" w:after="10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Calculated pore-size distribution of the data in Figure 2, desorption branch.</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method of measurement and calculation presented here is the gold standard in porosimetry. The mercury porosimetry technique is an alternative, but its high pressures and possibility of exposure to mercury are disadvantages. Better pressure transducers, vacuum pumps, and software have greatly extended the utility of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porosimetry, and the method gives all 3 key adsorbent or catalyst morphological measurements (</w:t>
      </w:r>
      <w:r>
        <w:rPr>
          <w:rFonts w:ascii="Times New Roman" w:hAnsi="Times New Roman" w:cs="Times New Roman" w:eastAsia="Times New Roman"/>
          <w:b/>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pore volume, pore size distribution) in one experiment. It also provides information on </w:t>
      </w:r>
      <w:r>
        <w:rPr>
          <w:rFonts w:ascii="Times New Roman" w:hAnsi="Times New Roman" w:cs="Times New Roman" w:eastAsia="Times New Roman"/>
          <w:b/>
          <w:i/>
          <w:color w:val="auto"/>
          <w:spacing w:val="0"/>
          <w:position w:val="0"/>
          <w:sz w:val="22"/>
          <w:shd w:fill="auto" w:val="clear"/>
        </w:rPr>
        <w:t xml:space="preserve">pore shape</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Commercial catalysts and adsorbents are often manufactured to tight pore size specifications. The fastest way to determine if the correct morphology is present is to measure the pore size distribution. For example, uneven temperature control in the calcining (heat treatment) step during manufacture can greatly alter the distribution.  For many catalysts, lifetimes are greatly shortened if larger pores are not present, even if the surface area is still high, because these large pores often serve as gateways for the removal of oligomeric carbon residues (“coke”) that otherwise would poison many active sites.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cylindrical pores the average pore diameter, D, should also equal 4PV/A (PV is pore volume/mass). The software reports the cylindrical estimates for both adsorption and desorption branches, and the magnitude of their differences from the average diameters calculated from the distributions themselves gives an idea of the porous material’s deviation from perfectly cylindrical pores. Some solids have pores that are slit-like, with a critical short dimension (h) analogous to the diameter of 2 PV/A for very long and wide slit pores, and then determine if the porous solid is more slit-like, comparing the different branch estimates to more exact values generated from the probability distributions. If both cylindrical and slit estimates are significantly in error, what could this mean? Similar calculations could be done to test for other pore shapes.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Porosimeters can be easily adapted to measure surface areas as small as 0.01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in concretes, although Kr or Xe are used instead of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and pore sizes less than 1 nm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in zeolites, although Ar is used and special procedures necessary). While it is true that zeolites are important catalysts and commercial adsorbents, their primary use is in detergents, where they can bind almost all the grime removed from laundry.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Additionally, it is also important to know the morphological properties of tableting materials, such as excipients (lubricants) and binders, to control the pill tableting process and the dissolution and degradation of outer shells to ensure controlled release of the active pharma ingredient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w:t>
      </w:r>
    </w:p>
    <w:p>
      <w:pPr>
        <w:spacing w:before="100" w:after="1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100" w:after="10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20" w:line="240"/>
        <w:ind w:right="0" w:left="720" w:hanging="360"/>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1.</w:t>
        <w:tab/>
      </w:r>
      <w:r>
        <w:rPr>
          <w:rFonts w:ascii="Times New Roman" w:hAnsi="Times New Roman" w:cs="Times New Roman" w:eastAsia="Times New Roman"/>
          <w:color w:val="auto"/>
          <w:spacing w:val="0"/>
          <w:position w:val="0"/>
          <w:sz w:val="22"/>
          <w:shd w:fill="auto" w:val="clear"/>
        </w:rPr>
        <w:t xml:space="preserve">S.J. Gregg and K.S.W. Sing, </w:t>
      </w:r>
      <w:r>
        <w:rPr>
          <w:rFonts w:ascii="Times New Roman" w:hAnsi="Times New Roman" w:cs="Times New Roman" w:eastAsia="Times New Roman"/>
          <w:i/>
          <w:color w:val="auto"/>
          <w:spacing w:val="0"/>
          <w:position w:val="0"/>
          <w:sz w:val="22"/>
          <w:shd w:fill="auto" w:val="clear"/>
        </w:rPr>
        <w:t xml:space="preserve">Adsorption, Surface Area, &amp;amp; Porosity, 2nd Ed.</w:t>
      </w:r>
      <w:r>
        <w:rPr>
          <w:rFonts w:ascii="Times New Roman" w:hAnsi="Times New Roman" w:cs="Times New Roman" w:eastAsia="Times New Roman"/>
          <w:color w:val="auto"/>
          <w:spacing w:val="0"/>
          <w:position w:val="0"/>
          <w:sz w:val="22"/>
          <w:shd w:fill="auto" w:val="clear"/>
        </w:rPr>
        <w:t xml:space="preserve">, Academic, 1982</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and D. Ruthven, </w:t>
      </w:r>
      <w:r>
        <w:rPr>
          <w:rFonts w:ascii="Times New Roman" w:hAnsi="Times New Roman" w:cs="Times New Roman" w:eastAsia="Times New Roman"/>
          <w:i/>
          <w:color w:val="auto"/>
          <w:spacing w:val="0"/>
          <w:position w:val="0"/>
          <w:sz w:val="22"/>
          <w:shd w:fill="auto" w:val="clear"/>
        </w:rPr>
        <w:t xml:space="preserve">Principles of Adsorption and Adsorption Processes</w:t>
      </w:r>
      <w:r>
        <w:rPr>
          <w:rFonts w:ascii="Times New Roman" w:hAnsi="Times New Roman" w:cs="Times New Roman" w:eastAsia="Times New Roman"/>
          <w:color w:val="auto"/>
          <w:spacing w:val="0"/>
          <w:position w:val="0"/>
          <w:sz w:val="22"/>
          <w:shd w:fill="auto" w:val="clear"/>
        </w:rPr>
        <w:t xml:space="preserve">, Wiley, New York, 1984.</w:t>
      </w: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i/>
          <w:color w:val="auto"/>
          <w:spacing w:val="0"/>
          <w:position w:val="0"/>
          <w:sz w:val="22"/>
          <w:shd w:fill="auto" w:val="clear"/>
        </w:rPr>
        <w:t xml:space="preserve">J. Amer. Chem. Soc.</w:t>
      </w:r>
      <w:r>
        <w:rPr>
          <w:rFonts w:ascii="Times New Roman" w:hAnsi="Times New Roman" w:cs="Times New Roman" w:eastAsia="Times New Roman"/>
          <w:color w:val="auto"/>
          <w:spacing w:val="0"/>
          <w:position w:val="0"/>
          <w:sz w:val="22"/>
          <w:shd w:fill="auto" w:val="clear"/>
        </w:rPr>
        <w:t xml:space="preserve">, 60, 309-319 (1938). </w:t>
      </w:r>
    </w:p>
    <w:p>
      <w:pPr>
        <w:spacing w:before="0" w:after="12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