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Tamara Powers, Department of Chemistry Texas A&amp;amp;M University, College Station, TX</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1951, Kealy and Pauson reported to </w:t>
      </w:r>
      <w:r>
        <w:rPr>
          <w:rFonts w:ascii="Times New Roman" w:hAnsi="Times New Roman" w:cs="Times New Roman" w:eastAsia="Times New Roman"/>
          <w:i/>
          <w:color w:val="auto"/>
          <w:spacing w:val="0"/>
          <w:position w:val="0"/>
          <w:sz w:val="24"/>
          <w:shd w:fill="auto" w:val="clear"/>
        </w:rPr>
        <w:t xml:space="preserve">Nature </w:t>
      </w:r>
      <w:r>
        <w:rPr>
          <w:rFonts w:ascii="Times New Roman" w:hAnsi="Times New Roman" w:cs="Times New Roman" w:eastAsia="Times New Roman"/>
          <w:color w:val="auto"/>
          <w:spacing w:val="0"/>
          <w:position w:val="0"/>
          <w:sz w:val="24"/>
          <w:shd w:fill="auto" w:val="clear"/>
        </w:rPr>
        <w:t xml:space="preserve">the synthesis of a new organometallic compound, ferrocene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In their original report, Pauson suggested a structure for ferrocene in which the iron is singly bonded (sigma bonds) to one carbon atom of each cyclopentadiene ligand (</w:t>
      </w:r>
      <w:r>
        <w:rPr>
          <w:rFonts w:ascii="Times New Roman" w:hAnsi="Times New Roman" w:cs="Times New Roman" w:eastAsia="Times New Roman"/>
          <w:b/>
          <w:color w:val="auto"/>
          <w:spacing w:val="0"/>
          <w:position w:val="0"/>
          <w:sz w:val="24"/>
          <w:shd w:fill="auto" w:val="clear"/>
        </w:rPr>
        <w:t xml:space="preserve">Figure 1, Structure 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This initial report led to wide-spread interest in the structure of ferrocene, and many leading scientists participated in the structure elucidation of this interesting new molecule. Wilkinson and Woodward were quick to suggest an alternative formulization where the iron is “sandwiched” between two cyclopentadiene ligands, with equal binding to all 10 carbon atoms (</w:t>
      </w:r>
      <w:r>
        <w:rPr>
          <w:rFonts w:ascii="Times New Roman" w:hAnsi="Times New Roman" w:cs="Times New Roman" w:eastAsia="Times New Roman"/>
          <w:b/>
          <w:color w:val="auto"/>
          <w:spacing w:val="0"/>
          <w:position w:val="0"/>
          <w:sz w:val="24"/>
          <w:shd w:fill="auto" w:val="clear"/>
        </w:rPr>
        <w:t xml:space="preserve">Figure 1, Structure II</w:t>
      </w:r>
      <w:r>
        <w:rPr>
          <w:rFonts w:ascii="Times New Roman" w:hAnsi="Times New Roman" w:cs="Times New Roman" w:eastAsia="Times New Roman"/>
          <w:color w:val="auto"/>
          <w:spacing w:val="0"/>
          <w:position w:val="0"/>
          <w:sz w:val="24"/>
          <w:shd w:fill="auto" w:val="clear"/>
        </w:rPr>
        <w:t xml:space="preserve">). Here, we will synthesize ferrocene and decide, based on experimental data (IR and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which of these structures is observed. In addition, we will study the electrochemistry of ferrocene by collecting a cyclic voltammogram. In the course of this experiment, we introduce the 18-electron rule and discuss valence electron counting for transition metal complexes.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6013" w:dyaOrig="3320">
          <v:rect xmlns:o="urn:schemas-microsoft-com:office:office" xmlns:v="urn:schemas-microsoft-com:vml" id="rectole0000000000" style="width:300.650000pt;height:166.00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Two proposed structures of ferrocene.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18-electron Rule and Total Valence Electron Counting:</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drawing Lewis dot structures, it is important to remember the octet rule, which states that atoms of main group elements have 8 electrons in their valence shell. However, the octet rule does not hold for transition metals, which have nine valence orbitals (one s, three p, and five d orbitals) and can thus accommodate as many as 18 electrons. Therefore, an 18-electron rule applies for transition metal complexes. Like the octet rule, there are exceptions to the 18-electron rule, but in general, transition metal complexes with 18 valence electrons are considered highly stable compounds.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two methods that can be used to determine the total valence electron count of a transition metal complex: the ionic (charged) model and the covalent (neutral) model. Proper application of either method should give rise to the same total electron count. Both models use three ligand classifications called X-, L-, and Z-types. Each ligand type contributes a different number of electrons to the total electron count and is dependent on the method used. X-type ligands include anionic groups such as halides, hydroxide, and alkoxides. L-type ligands include lone-pair donors such as amines and phosphines. Finally, Z-type ligands are electron pair acceptors; therefore, Z-type ligands are neutral Lewis acids, such as BR</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We will consider the molecule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 order to demonstrate the two methods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1862" w:dyaOrig="1437">
          <v:rect xmlns:o="urn:schemas-microsoft-com:office:office" xmlns:v="urn:schemas-microsoft-com:vml" id="rectole0000000001" style="width:93.100000pt;height:71.8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Electron counting example,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Ionic Model: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consider the number of electrons contributed by the central atom. Co is in Group 9 of the periodic table and thus has 9 valence electrons. In the ionic model, the oxidation state of the metal needs to be considered. Since the oxidation state of the Co in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is 3+, the total number of valence electrons contributed by the metal in the ionic model is 6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In the ionic model, both X- and L-type ligands donate 2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to the total electron count while Z-type ligands do not contribute any electrons. For the example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there are two ligand types present. Cl is an X-type ligand and 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is an L-type ligand. Using the ionic model, the total electron count is 18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counting of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 </w:t>
      </w:r>
      <w:r>
        <w:rPr>
          <w:rFonts w:ascii="Times New Roman" w:hAnsi="Times New Roman" w:cs="Times New Roman" w:eastAsia="Times New Roman"/>
          <w:color w:val="auto"/>
          <w:spacing w:val="0"/>
          <w:position w:val="0"/>
          <w:sz w:val="24"/>
          <w:shd w:fill="auto" w:val="clear"/>
        </w:rPr>
        <w:t xml:space="preserve">using the ionic and covalent models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872"/>
        <w:gridCol w:w="1578"/>
        <w:gridCol w:w="1987"/>
        <w:gridCol w:w="2864"/>
      </w:tblGrid>
      <w:tr>
        <w:trPr>
          <w:trHeight w:val="1" w:hRule="atLeast"/>
          <w:jc w:val="center"/>
        </w:trPr>
        <w:tc>
          <w:tcPr>
            <w:tcW w:w="18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Ligand/central atom</w:t>
            </w:r>
          </w:p>
        </w:tc>
        <w:tc>
          <w:tcPr>
            <w:tcW w:w="15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Ligand type</w:t>
            </w:r>
          </w:p>
        </w:tc>
        <w:tc>
          <w:tcPr>
            <w:tcW w:w="1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e</w:t>
            </w:r>
            <w:r>
              <w:rPr>
                <w:rFonts w:ascii="Cambria Math" w:hAnsi="Cambria Math" w:cs="Cambria Math" w:eastAsia="Cambria Math"/>
                <w:b/>
                <w:i/>
                <w:color w:val="auto"/>
                <w:spacing w:val="0"/>
                <w:position w:val="0"/>
                <w:sz w:val="24"/>
                <w:shd w:fill="auto" w:val="clear"/>
                <w:vertAlign w:val="superscript"/>
              </w:rPr>
              <w:t xml:space="preserve">−</w:t>
            </w:r>
            <w:r>
              <w:rPr>
                <w:rFonts w:ascii="Times New Roman" w:hAnsi="Times New Roman" w:cs="Times New Roman" w:eastAsia="Times New Roman"/>
                <w:b/>
                <w:color w:val="auto"/>
                <w:spacing w:val="0"/>
                <w:position w:val="0"/>
                <w:sz w:val="24"/>
                <w:shd w:fill="auto" w:val="clear"/>
              </w:rPr>
              <w:t xml:space="preserve"> contribution </w:t>
            </w:r>
          </w:p>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(ionic model)</w:t>
            </w:r>
          </w:p>
        </w:tc>
        <w:tc>
          <w:tcPr>
            <w:tcW w:w="28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e</w:t>
            </w:r>
            <w:r>
              <w:rPr>
                <w:rFonts w:ascii="Cambria Math" w:hAnsi="Cambria Math" w:cs="Cambria Math" w:eastAsia="Cambria Math"/>
                <w:b/>
                <w:i/>
                <w:color w:val="auto"/>
                <w:spacing w:val="0"/>
                <w:position w:val="0"/>
                <w:sz w:val="24"/>
                <w:shd w:fill="auto" w:val="clear"/>
                <w:vertAlign w:val="superscript"/>
              </w:rPr>
              <w:t xml:space="preserve">−</w:t>
            </w:r>
            <w:r>
              <w:rPr>
                <w:rFonts w:ascii="Times New Roman" w:hAnsi="Times New Roman" w:cs="Times New Roman" w:eastAsia="Times New Roman"/>
                <w:b/>
                <w:color w:val="auto"/>
                <w:spacing w:val="0"/>
                <w:position w:val="0"/>
                <w:sz w:val="24"/>
                <w:shd w:fill="auto" w:val="clear"/>
              </w:rPr>
              <w:t xml:space="preserve"> contribution </w:t>
            </w:r>
          </w:p>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(covalent model)</w:t>
            </w:r>
          </w:p>
        </w:tc>
      </w:tr>
      <w:tr>
        <w:trPr>
          <w:trHeight w:val="1" w:hRule="atLeast"/>
          <w:jc w:val="center"/>
        </w:trPr>
        <w:tc>
          <w:tcPr>
            <w:tcW w:w="18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Co</w:t>
            </w:r>
          </w:p>
        </w:tc>
        <w:tc>
          <w:tcPr>
            <w:tcW w:w="15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n/a</w:t>
            </w:r>
          </w:p>
        </w:tc>
        <w:tc>
          <w:tcPr>
            <w:tcW w:w="1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p>
        </w:tc>
        <w:tc>
          <w:tcPr>
            <w:tcW w:w="28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p>
        </w:tc>
      </w:tr>
      <w:tr>
        <w:trPr>
          <w:trHeight w:val="1" w:hRule="atLeast"/>
          <w:jc w:val="center"/>
        </w:trPr>
        <w:tc>
          <w:tcPr>
            <w:tcW w:w="18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NH</w:t>
            </w:r>
            <w:r>
              <w:rPr>
                <w:rFonts w:ascii="Times New Roman" w:hAnsi="Times New Roman" w:cs="Times New Roman" w:eastAsia="Times New Roman"/>
                <w:color w:val="auto"/>
                <w:spacing w:val="0"/>
                <w:position w:val="0"/>
                <w:sz w:val="24"/>
                <w:shd w:fill="auto" w:val="clear"/>
                <w:vertAlign w:val="subscript"/>
              </w:rPr>
              <w:t xml:space="preserve">3</w:t>
            </w:r>
          </w:p>
        </w:tc>
        <w:tc>
          <w:tcPr>
            <w:tcW w:w="15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L</w:t>
            </w:r>
          </w:p>
        </w:tc>
        <w:tc>
          <w:tcPr>
            <w:tcW w:w="1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x (2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tc>
        <w:tc>
          <w:tcPr>
            <w:tcW w:w="28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x (2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18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Cl</w:t>
            </w:r>
          </w:p>
        </w:tc>
        <w:tc>
          <w:tcPr>
            <w:tcW w:w="15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X</w:t>
            </w:r>
          </w:p>
        </w:tc>
        <w:tc>
          <w:tcPr>
            <w:tcW w:w="1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x (2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tc>
        <w:tc>
          <w:tcPr>
            <w:tcW w:w="28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x (1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34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rPr>
            </w:pPr>
            <w:r>
              <w:rPr>
                <w:rFonts w:ascii="Times New Roman" w:hAnsi="Times New Roman" w:cs="Times New Roman" w:eastAsia="Times New Roman"/>
                <w:b/>
                <w:color w:val="auto"/>
                <w:spacing w:val="0"/>
                <w:position w:val="0"/>
                <w:sz w:val="24"/>
                <w:shd w:fill="auto" w:val="clear"/>
              </w:rPr>
              <w:t xml:space="preserve">Charge of ion</w:t>
            </w:r>
          </w:p>
        </w:tc>
        <w:tc>
          <w:tcPr>
            <w:tcW w:w="1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n/a*</w:t>
            </w:r>
          </w:p>
        </w:tc>
        <w:tc>
          <w:tcPr>
            <w:tcW w:w="28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w:t>
            </w:r>
          </w:p>
        </w:tc>
      </w:tr>
      <w:tr>
        <w:trPr>
          <w:trHeight w:val="1" w:hRule="atLeast"/>
          <w:jc w:val="center"/>
        </w:trPr>
        <w:tc>
          <w:tcPr>
            <w:tcW w:w="345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rPr>
            </w:pPr>
            <w:r>
              <w:rPr>
                <w:rFonts w:ascii="Times New Roman" w:hAnsi="Times New Roman" w:cs="Times New Roman" w:eastAsia="Times New Roman"/>
                <w:b/>
                <w:color w:val="auto"/>
                <w:spacing w:val="0"/>
                <w:position w:val="0"/>
                <w:sz w:val="24"/>
                <w:shd w:fill="auto" w:val="clear"/>
              </w:rPr>
              <w:t xml:space="preserve">Total </w:t>
            </w:r>
            <w:r>
              <w:rPr>
                <w:rFonts w:ascii="Times New Roman" w:hAnsi="Times New Roman" w:cs="Times New Roman" w:eastAsia="Times New Roman"/>
                <w:b/>
                <w:i/>
                <w:color w:val="auto"/>
                <w:spacing w:val="0"/>
                <w:position w:val="0"/>
                <w:sz w:val="24"/>
                <w:shd w:fill="auto" w:val="clear"/>
              </w:rPr>
              <w:t xml:space="preserve">e</w:t>
            </w:r>
            <w:r>
              <w:rPr>
                <w:rFonts w:ascii="Cambria Math" w:hAnsi="Cambria Math" w:cs="Cambria Math" w:eastAsia="Cambria Math"/>
                <w:b/>
                <w:i/>
                <w:color w:val="auto"/>
                <w:spacing w:val="0"/>
                <w:position w:val="0"/>
                <w:sz w:val="24"/>
                <w:shd w:fill="auto" w:val="clear"/>
                <w:vertAlign w:val="superscript"/>
              </w:rPr>
              <w:t xml:space="preserve">−</w:t>
            </w:r>
            <w:r>
              <w:rPr>
                <w:rFonts w:ascii="Times New Roman" w:hAnsi="Times New Roman" w:cs="Times New Roman" w:eastAsia="Times New Roman"/>
                <w:b/>
                <w:color w:val="auto"/>
                <w:spacing w:val="0"/>
                <w:position w:val="0"/>
                <w:sz w:val="24"/>
                <w:shd w:fill="auto" w:val="clear"/>
                <w:vertAlign w:val="superscript"/>
              </w:rPr>
              <w:t xml:space="preserve"> </w:t>
            </w:r>
            <w:r>
              <w:rPr>
                <w:rFonts w:ascii="Times New Roman" w:hAnsi="Times New Roman" w:cs="Times New Roman" w:eastAsia="Times New Roman"/>
                <w:b/>
                <w:color w:val="auto"/>
                <w:spacing w:val="0"/>
                <w:position w:val="0"/>
                <w:sz w:val="24"/>
                <w:shd w:fill="auto" w:val="clear"/>
              </w:rPr>
              <w:t xml:space="preserve">count</w:t>
            </w:r>
          </w:p>
        </w:tc>
        <w:tc>
          <w:tcPr>
            <w:tcW w:w="1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p>
        </w:tc>
        <w:tc>
          <w:tcPr>
            <w:tcW w:w="28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p>
        </w:tc>
      </w:tr>
      <w:tr>
        <w:trPr>
          <w:trHeight w:val="1" w:hRule="atLeast"/>
          <w:jc w:val="center"/>
        </w:trPr>
        <w:tc>
          <w:tcPr>
            <w:tcW w:w="830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80"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*The charge of the metal-containing ion is NOT included in the total electron count using the ionic model. The charge is accounted for in the oxidation state of the metal (electrons contributed by the central atom).</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Covalent Model: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covalent model, the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contribution from the central atom is equal to the total number of valence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for the neutral atom (in this case 9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X-type ligands donate 1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L-type ligands donate 2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Z-type ligands donate 0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Finally, if the molecule is ionic, the charge of the ion containing the metal center needs to be subtracted from the metal plus the ligand electrons. Using the covalent model, the total electron count for Co(NH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is also 18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Electron Counting for Ferrocene and Ferrocenium 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covalent model, Fe has 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If we regard the bonding in ferrocene as that in Structure I, the cyclopentadiene (Cp) ligands are X-type donors and therefore each contribute 1 electron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Thus, we would have 10 valence electrons. However, in Structure II, each Cp ring donates 5 electrons (L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X-type ligand), where we have two double bonds (each are 2-electron, L-type donors), and one X-type donor (the radical). This gives a total of 18 electrons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w:t>
      </w:r>
      <w:r>
        <w:rPr>
          <w:rFonts w:ascii="Times New Roman" w:hAnsi="Times New Roman" w:cs="Times New Roman" w:eastAsia="Times New Roman"/>
          <w:color w:val="auto"/>
          <w:spacing w:val="0"/>
          <w:position w:val="0"/>
          <w:sz w:val="24"/>
          <w:shd w:fill="auto" w:val="clear"/>
        </w:rPr>
        <w:t xml:space="preserve">Electron counting for ferrocene (Fc) and ferrocenium (Fc</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cation using the covalent model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644"/>
        <w:gridCol w:w="1530"/>
        <w:gridCol w:w="1170"/>
        <w:gridCol w:w="1170"/>
        <w:gridCol w:w="2459"/>
        <w:gridCol w:w="1165"/>
        <w:gridCol w:w="1169"/>
      </w:tblGrid>
      <w:tr>
        <w:trPr>
          <w:trHeight w:val="1" w:hRule="atLeast"/>
          <w:jc w:val="center"/>
        </w:trPr>
        <w:tc>
          <w:tcPr>
            <w:tcW w:w="164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Ligand/ central atom</w:t>
            </w:r>
          </w:p>
        </w:tc>
        <w:tc>
          <w:tcPr>
            <w:tcW w:w="387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Structure I</w:t>
            </w:r>
          </w:p>
        </w:tc>
        <w:tc>
          <w:tcPr>
            <w:tcW w:w="479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Structure II</w:t>
            </w:r>
          </w:p>
        </w:tc>
      </w:tr>
      <w:tr>
        <w:trPr>
          <w:trHeight w:val="1" w:hRule="atLeast"/>
          <w:jc w:val="center"/>
        </w:trPr>
        <w:tc>
          <w:tcPr>
            <w:tcW w:w="164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Ligand type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Fc</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Fc</w:t>
            </w:r>
            <w:r>
              <w:rPr>
                <w:rFonts w:ascii="Times New Roman" w:hAnsi="Times New Roman" w:cs="Times New Roman" w:eastAsia="Times New Roman"/>
                <w:b/>
                <w:color w:val="auto"/>
                <w:spacing w:val="0"/>
                <w:position w:val="0"/>
                <w:sz w:val="24"/>
                <w:shd w:fill="auto" w:val="clear"/>
                <w:vertAlign w:val="superscript"/>
              </w:rPr>
              <w:t xml:space="preserve">+</w:t>
            </w:r>
          </w:p>
        </w:tc>
        <w:tc>
          <w:tcPr>
            <w:tcW w:w="2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Ligand Type</w:t>
            </w:r>
          </w:p>
        </w:tc>
        <w:tc>
          <w:tcPr>
            <w:tcW w:w="1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Fc</w:t>
            </w:r>
          </w:p>
        </w:tc>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Fc</w:t>
            </w:r>
            <w:r>
              <w:rPr>
                <w:rFonts w:ascii="Times New Roman" w:hAnsi="Times New Roman" w:cs="Times New Roman" w:eastAsia="Times New Roman"/>
                <w:b/>
                <w:color w:val="auto"/>
                <w:spacing w:val="0"/>
                <w:position w:val="0"/>
                <w:sz w:val="24"/>
                <w:shd w:fill="auto" w:val="clear"/>
                <w:vertAlign w:val="superscript"/>
              </w:rPr>
              <w:t xml:space="preserve">+</w:t>
            </w:r>
          </w:p>
        </w:tc>
      </w:tr>
      <w:tr>
        <w:trPr>
          <w:trHeight w:val="1" w:hRule="atLeast"/>
          <w:jc w:val="center"/>
        </w:trPr>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Fe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p>
        </w:tc>
        <w:tc>
          <w:tcPr>
            <w:tcW w:w="2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c>
          <w:tcPr>
            <w:tcW w:w="1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p>
        </w:tc>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p>
        </w:tc>
      </w:tr>
      <w:tr>
        <w:trPr>
          <w:trHeight w:val="1" w:hRule="atLeast"/>
          <w:jc w:val="center"/>
        </w:trPr>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Cp</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X</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 x (1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 x (1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tc>
        <w:tc>
          <w:tcPr>
            <w:tcW w:w="2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X</w:t>
            </w:r>
          </w:p>
        </w:tc>
        <w:tc>
          <w:tcPr>
            <w:tcW w:w="1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 x (5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tc>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 x (5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317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rPr>
            </w:pPr>
            <w:r>
              <w:rPr>
                <w:rFonts w:ascii="Times New Roman" w:hAnsi="Times New Roman" w:cs="Times New Roman" w:eastAsia="Times New Roman"/>
                <w:b/>
                <w:color w:val="auto"/>
                <w:spacing w:val="0"/>
                <w:position w:val="0"/>
                <w:sz w:val="24"/>
                <w:shd w:fill="auto" w:val="clear"/>
              </w:rPr>
              <w:t xml:space="preserve">Charge of ion</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w:t>
            </w:r>
          </w:p>
        </w:tc>
        <w:tc>
          <w:tcPr>
            <w:tcW w:w="2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rPr>
            </w:pPr>
            <w:r>
              <w:rPr>
                <w:rFonts w:ascii="Times New Roman" w:hAnsi="Times New Roman" w:cs="Times New Roman" w:eastAsia="Times New Roman"/>
                <w:b/>
                <w:color w:val="auto"/>
                <w:spacing w:val="0"/>
                <w:position w:val="0"/>
                <w:sz w:val="24"/>
                <w:shd w:fill="auto" w:val="clear"/>
              </w:rPr>
              <w:t xml:space="preserve">Charge of ion</w:t>
            </w:r>
          </w:p>
        </w:tc>
        <w:tc>
          <w:tcPr>
            <w:tcW w:w="1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w:t>
            </w:r>
          </w:p>
        </w:tc>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w:t>
            </w:r>
          </w:p>
        </w:tc>
      </w:tr>
      <w:tr>
        <w:trPr>
          <w:trHeight w:val="1" w:hRule="atLeast"/>
          <w:jc w:val="center"/>
        </w:trPr>
        <w:tc>
          <w:tcPr>
            <w:tcW w:w="317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rPr>
            </w:pPr>
            <w:r>
              <w:rPr>
                <w:rFonts w:ascii="Times New Roman" w:hAnsi="Times New Roman" w:cs="Times New Roman" w:eastAsia="Times New Roman"/>
                <w:b/>
                <w:color w:val="auto"/>
                <w:spacing w:val="0"/>
                <w:position w:val="0"/>
                <w:sz w:val="24"/>
                <w:shd w:fill="auto" w:val="clear"/>
              </w:rPr>
              <w:t xml:space="preserve">Total electron count</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i/>
                <w:color w:val="auto"/>
                <w:spacing w:val="0"/>
                <w:position w:val="0"/>
                <w:sz w:val="24"/>
                <w:shd w:fill="auto" w:val="clear"/>
              </w:rPr>
              <w:t xml:space="preserve">e</w:t>
            </w:r>
            <w:r>
              <w:rPr>
                <w:rFonts w:ascii="Cambria Math" w:hAnsi="Cambria Math" w:cs="Cambria Math" w:eastAsia="Cambria Math"/>
                <w:b/>
                <w:i/>
                <w:color w:val="auto"/>
                <w:spacing w:val="0"/>
                <w:position w:val="0"/>
                <w:sz w:val="24"/>
                <w:shd w:fill="auto" w:val="clear"/>
                <w:vertAlign w:val="superscript"/>
              </w:rPr>
              <w:t xml:space="preserv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i/>
                <w:color w:val="auto"/>
                <w:spacing w:val="0"/>
                <w:position w:val="0"/>
                <w:sz w:val="24"/>
                <w:shd w:fill="auto" w:val="clear"/>
              </w:rPr>
              <w:t xml:space="preserve">e</w:t>
            </w:r>
            <w:r>
              <w:rPr>
                <w:rFonts w:ascii="Cambria Math" w:hAnsi="Cambria Math" w:cs="Cambria Math" w:eastAsia="Cambria Math"/>
                <w:b/>
                <w:i/>
                <w:color w:val="auto"/>
                <w:spacing w:val="0"/>
                <w:position w:val="0"/>
                <w:sz w:val="24"/>
                <w:shd w:fill="auto" w:val="clear"/>
                <w:vertAlign w:val="superscript"/>
              </w:rPr>
              <w:t xml:space="preserve">−</w:t>
            </w:r>
          </w:p>
        </w:tc>
        <w:tc>
          <w:tcPr>
            <w:tcW w:w="2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rPr>
            </w:pPr>
            <w:r>
              <w:rPr>
                <w:rFonts w:ascii="Times New Roman" w:hAnsi="Times New Roman" w:cs="Times New Roman" w:eastAsia="Times New Roman"/>
                <w:b/>
                <w:color w:val="auto"/>
                <w:spacing w:val="0"/>
                <w:position w:val="0"/>
                <w:sz w:val="24"/>
                <w:shd w:fill="auto" w:val="clear"/>
              </w:rPr>
              <w:t xml:space="preserve">Total electron count</w:t>
            </w:r>
          </w:p>
        </w:tc>
        <w:tc>
          <w:tcPr>
            <w:tcW w:w="1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b/>
                <w:i/>
                <w:color w:val="auto"/>
                <w:spacing w:val="0"/>
                <w:position w:val="0"/>
                <w:sz w:val="24"/>
                <w:shd w:fill="auto" w:val="clear"/>
              </w:rPr>
              <w:t xml:space="preserve">e</w:t>
            </w:r>
            <w:r>
              <w:rPr>
                <w:rFonts w:ascii="Cambria Math" w:hAnsi="Cambria Math" w:cs="Cambria Math" w:eastAsia="Cambria Math"/>
                <w:b/>
                <w:i/>
                <w:color w:val="auto"/>
                <w:spacing w:val="0"/>
                <w:position w:val="0"/>
                <w:sz w:val="24"/>
                <w:shd w:fill="auto" w:val="clear"/>
                <w:vertAlign w:val="superscript"/>
              </w:rPr>
              <w:t xml:space="preserve">−</w:t>
            </w:r>
          </w:p>
        </w:tc>
        <w:tc>
          <w:tcPr>
            <w:tcW w:w="11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i/>
                <w:color w:val="auto"/>
                <w:spacing w:val="0"/>
                <w:position w:val="0"/>
                <w:sz w:val="24"/>
                <w:shd w:fill="auto" w:val="clear"/>
              </w:rPr>
              <w:t xml:space="preserve">e</w:t>
            </w:r>
            <w:r>
              <w:rPr>
                <w:rFonts w:ascii="Cambria Math" w:hAnsi="Cambria Math" w:cs="Cambria Math" w:eastAsia="Cambria Math"/>
                <w:b/>
                <w:i/>
                <w:color w:val="auto"/>
                <w:spacing w:val="0"/>
                <w:position w:val="0"/>
                <w:sz w:val="24"/>
                <w:shd w:fill="auto" w:val="clear"/>
                <w:vertAlign w:val="superscript"/>
              </w:rPr>
              <w:t xml:space="preserve">−</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Ferrocene readily undergoes a 1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oxidation to yield ferrocenium cation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 xml:space="preserv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Let’s consider the resulting electron count for the ferrocenium cation of Structures I and II. Upon a 1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oxidation, ferrocene becomes ionic. Therefore, the charge (+1) of the ferrocenium cation needs to be subtracted from the valence electrons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Subtracting the charge results in total electron counts of 9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17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for Structure I and Structure II, respectively.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Which Structure of Ferrocene is Correct?:</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Structure I is correct, with only 10 valence electrons, ferrocene would be highly reactive at the Fe. Oxidation to yield the ferrocenium cation would be quite challenging in this case, since Structure I of ferrocene is electron deficient. On the other hand, Structure II of ferrocene obeys the 18-electron rule and is therefore consistent with ferrocene being a stable compound. In this case, oxidation of ferrocene to ferrocenium cation would yield a 17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species. Based on electron counting, one may predict that ferrocene exhibits Structure II; let’s think about how to demonstrate the correct structure spectroscopically.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Before structural data was published, the structure of ferrocene was deduced from its magnetic and spectroscopic properties, as well as its reactivity. Let’s consider the IR spectra that we would predict for the two structures. Structure I displays two chemically inequivalent protons and should thus give rise to more than one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stretching mode in the IR spectrum. In contrast, Structure II displays a single type of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bond and should thus display a single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stretch. Had NMR spectroscopy been readily available in the 1950’s, this too would provide a clue: two resonances in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spectrum for Structure I, and one resonance for Structure II would be predicted. In this experiment, we will synthesize ferrocene and use spectroscopic data to provide evidence for its structure.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Cracking the Cyclopentadiene Dimer (Figure 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Cyclopentadiene undergoes a Diels-Alder reaction with itself to give dicyclopentadiene. This reaction is reversible, so cracking is accomplished using La Châtelier’s principle to drive the reverse reaction by distilling the cyclopentadiene monomer (b.p. 42 &amp;#176;C) away from the dicyclopentadiene dimer (b.p. 170 &amp;#176;C). The dimerization reaction is slow when the cyclopentadiene is kept cold, but it must be freshly prepared to successfully synthesize ferrocene.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To a 25-mL round-bottom flask, add a stir bar and 10 mL of dicyclopentadiene dimer.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Be careful to only use dicyclopentadiene and cyclopentadiene in a fume hood because they are both stench chemicals.</w:t>
      </w:r>
    </w:p>
    <w:p>
      <w:pPr>
        <w:spacing w:before="0" w:after="0" w:line="240"/>
        <w:ind w:right="0" w:left="792"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Attach the round-bottom flask to a fractional distillation apparatus (see “Fractional Distillation” module in the </w:t>
      </w:r>
      <w:r>
        <w:rPr>
          <w:rFonts w:ascii="Times New Roman" w:hAnsi="Times New Roman" w:cs="Times New Roman" w:eastAsia="Times New Roman"/>
          <w:i/>
          <w:color w:val="auto"/>
          <w:spacing w:val="0"/>
          <w:position w:val="0"/>
          <w:sz w:val="24"/>
          <w:shd w:fill="auto" w:val="clear"/>
        </w:rPr>
        <w:t xml:space="preserve">Essentials of Organic Chemistry</w:t>
      </w:r>
      <w:r>
        <w:rPr>
          <w:rFonts w:ascii="Times New Roman" w:hAnsi="Times New Roman" w:cs="Times New Roman" w:eastAsia="Times New Roman"/>
          <w:color w:val="auto"/>
          <w:spacing w:val="0"/>
          <w:position w:val="0"/>
          <w:sz w:val="24"/>
          <w:shd w:fill="auto" w:val="clear"/>
        </w:rPr>
        <w:t xml:space="preserve"> series), and place in an oil bath on a stirring hot plate. Be sure to have the collecting flasks in an ice bath. Clamp the apparatus in place.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Set the hot plate to 160 &amp;#176;C and gently stir the solution.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Fractional distil ~ 5 mL of the Cp monomer from the dimer (39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42 &amp;#176;C).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object w:dxaOrig="6155" w:dyaOrig="1741">
          <v:rect xmlns:o="urn:schemas-microsoft-com:office:office" xmlns:v="urn:schemas-microsoft-com:vml" id="rectole0000000002" style="width:307.750000pt;height:87.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Cracking of dicyclopentadiene.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Synthesis of Ferrocene (Figure 4)</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To a 100-mL Schlenk flask, add a stir bar and 15 g of finely ground KOH.</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KOH is very corrosive and hygroscopic! The KOH should be ground in a well-ventilated hood and used immediately after preparation.</w:t>
      </w:r>
    </w:p>
    <w:p>
      <w:pPr>
        <w:spacing w:before="0" w:after="0" w:line="240"/>
        <w:ind w:right="0" w:left="792"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Add 30 mL of 1,2-dimethoxyethane to the flask while stirring.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Connect the flask to nitrogen and place a rubber septum over the neck of the flask.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While stirring under nitrogen, add 2.75 mL of cyclopentadiene via syringe. Allow this to stir for at least 10 min prior to addition of the iron.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While the reaction is stirring, add a stir bar, 3.25 g of ground FeCl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·4H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and 12.5 mL DMSO to a separate 50-mL Schlenk flask. Place a septum on the neck and stir under nitrogen until all of the iron has dissolved.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Cannula transfer the iron solution to the cyclopentadienyl solution under nitrogen dropwise over the course of 30 min. For a more detailed procedure, please review the “Synthesis of a Ti(III) Metallocene Using Schlenk Line Technique” video in this </w:t>
      </w:r>
      <w:r>
        <w:rPr>
          <w:rFonts w:ascii="Times New Roman" w:hAnsi="Times New Roman" w:cs="Times New Roman" w:eastAsia="Times New Roman"/>
          <w:i/>
          <w:color w:val="auto"/>
          <w:spacing w:val="0"/>
          <w:position w:val="0"/>
          <w:sz w:val="24"/>
          <w:shd w:fill="auto" w:val="clear"/>
        </w:rPr>
        <w:t xml:space="preserve">Inorganic Chemistry</w:t>
      </w:r>
      <w:r>
        <w:rPr>
          <w:rFonts w:ascii="Times New Roman" w:hAnsi="Times New Roman" w:cs="Times New Roman" w:eastAsia="Times New Roman"/>
          <w:color w:val="auto"/>
          <w:spacing w:val="0"/>
          <w:position w:val="0"/>
          <w:sz w:val="24"/>
          <w:shd w:fill="auto" w:val="clear"/>
        </w:rPr>
        <w:t xml:space="preserve"> series. </w:t>
      </w:r>
    </w:p>
    <w:p>
      <w:pPr>
        <w:spacing w:before="0" w:after="0" w:line="240"/>
        <w:ind w:right="0" w:left="792"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Once the addition is complete, stir for an additional 30 min.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Meanwhile, in a beaker cool 45 mL of 6 M HCl by adding crushed ice (50 g) directly to the solution.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Once the reaction is complete, pour the mixture onto the slurry, and stir for a few minutes. Yellow crystals should form.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2.10.</w:t>
        <w:tab/>
      </w:r>
      <w:r>
        <w:rPr>
          <w:rFonts w:ascii="Times New Roman" w:hAnsi="Times New Roman" w:cs="Times New Roman" w:eastAsia="Times New Roman"/>
          <w:color w:val="auto"/>
          <w:spacing w:val="0"/>
          <w:position w:val="0"/>
          <w:sz w:val="24"/>
          <w:shd w:fill="auto" w:val="clear"/>
        </w:rPr>
        <w:t xml:space="preserve">Collect the crystals on a B&amp;#252;chner funnel (fitted with filter paper), and wash the precipitate with water.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Allow the solids to dry in the air.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object w:dxaOrig="9091" w:dyaOrig="1619">
          <v:rect xmlns:o="urn:schemas-microsoft-com:office:office" xmlns:v="urn:schemas-microsoft-com:vml" id="rectole0000000003" style="width:454.550000pt;height:80.9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Synthesis of ferrocene.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Purification of Ferrocene. </w:t>
      </w:r>
      <w:r>
        <w:rPr>
          <w:rFonts w:ascii="Times New Roman" w:hAnsi="Times New Roman" w:cs="Times New Roman" w:eastAsia="Times New Roman"/>
          <w:color w:val="auto"/>
          <w:spacing w:val="0"/>
          <w:position w:val="0"/>
          <w:sz w:val="24"/>
          <w:shd w:fill="auto" w:val="clear"/>
        </w:rPr>
        <w:t xml:space="preserve">Purify the product by sublimation (for a more detailed procedure, please see the “Purification of Ferrocene by Sublimation” video).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Characterization of Ferrocene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Prepare and collect a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of ferrocene.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Collect an IR spectrum of ferrocene.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Collect a cyclic voltammogram of ferrocene (see the “Cyclic Voltammetry” video in the </w:t>
      </w:r>
      <w:r>
        <w:rPr>
          <w:rFonts w:ascii="Times New Roman" w:hAnsi="Times New Roman" w:cs="Times New Roman" w:eastAsia="Times New Roman"/>
          <w:i/>
          <w:color w:val="auto"/>
          <w:spacing w:val="0"/>
          <w:position w:val="0"/>
          <w:sz w:val="24"/>
          <w:shd w:fill="auto" w:val="clear"/>
        </w:rPr>
        <w:t xml:space="preserve">Essentials of Analytical Chemistry</w:t>
      </w:r>
      <w:r>
        <w:rPr>
          <w:rFonts w:ascii="Times New Roman" w:hAnsi="Times New Roman" w:cs="Times New Roman" w:eastAsia="Times New Roman"/>
          <w:color w:val="auto"/>
          <w:spacing w:val="0"/>
          <w:position w:val="0"/>
          <w:sz w:val="24"/>
          <w:shd w:fill="auto" w:val="clear"/>
        </w:rPr>
        <w:t xml:space="preserve"> series).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Ferrocene Characterization: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(chloroform-</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300 MHz, </w:t>
      </w:r>
      <w:r>
        <w:rPr>
          <w:rFonts w:ascii="Times New Roman" w:hAnsi="Times New Roman" w:cs="Times New Roman" w:eastAsia="Times New Roman"/>
          <w:color w:val="auto"/>
          <w:spacing w:val="0"/>
          <w:position w:val="0"/>
          <w:sz w:val="24"/>
          <w:shd w:fill="auto" w:val="clear"/>
        </w:rPr>
        <w:t xml:space="preserve">δ, ppm): 4.15 (s).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 (ATR): single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stretch at 3,096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of ferrocene clearly shows a single resonance, consistent with Structure II. The IR spectrum shows only one sp</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stretch, which is also consistent with Structure II. A CV of ferrocene is given in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Cyclic Voltammetry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video in the </w:t>
      </w:r>
      <w:r>
        <w:rPr>
          <w:rFonts w:ascii="Times New Roman" w:hAnsi="Times New Roman" w:cs="Times New Roman" w:eastAsia="Times New Roman"/>
          <w:i/>
          <w:color w:val="auto"/>
          <w:spacing w:val="0"/>
          <w:position w:val="0"/>
          <w:sz w:val="24"/>
          <w:shd w:fill="auto" w:val="clear"/>
        </w:rPr>
        <w:t xml:space="preserve">Essentials of Analytical Chemistry</w:t>
      </w:r>
      <w:r>
        <w:rPr>
          <w:rFonts w:ascii="Times New Roman" w:hAnsi="Times New Roman" w:cs="Times New Roman" w:eastAsia="Times New Roman"/>
          <w:color w:val="auto"/>
          <w:spacing w:val="0"/>
          <w:position w:val="0"/>
          <w:sz w:val="24"/>
          <w:shd w:fill="auto" w:val="clear"/>
        </w:rPr>
        <w:t xml:space="preserve"> series. The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vertAlign w:val="subscript"/>
        </w:rPr>
        <w:t xml:space="preserve">1/2</w:t>
      </w:r>
      <w:r>
        <w:rPr>
          <w:rFonts w:ascii="Times New Roman" w:hAnsi="Times New Roman" w:cs="Times New Roman" w:eastAsia="Times New Roman"/>
          <w:color w:val="auto"/>
          <w:spacing w:val="0"/>
          <w:position w:val="0"/>
          <w:sz w:val="24"/>
          <w:shd w:fill="auto" w:val="clear"/>
        </w:rPr>
        <w:t xml:space="preserve"> value obtained for the oxidation of ferrocene was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103 mV (acetonitrile, scan rate 300 mV/s). The ferrocene/ferrocenium redox couple is commonly used as a reference in cyclic voltammetry. When used as a reference, the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vertAlign w:val="subscript"/>
        </w:rPr>
        <w:t xml:space="preserve">1/2</w:t>
      </w:r>
      <w:r>
        <w:rPr>
          <w:rFonts w:ascii="Times New Roman" w:hAnsi="Times New Roman" w:cs="Times New Roman" w:eastAsia="Times New Roman"/>
          <w:color w:val="auto"/>
          <w:spacing w:val="0"/>
          <w:position w:val="0"/>
          <w:sz w:val="24"/>
          <w:shd w:fill="auto" w:val="clear"/>
        </w:rPr>
        <w:t xml:space="preserve"> value of ferrocene is set to equal 0 V.</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discussed ferrocene and the role it played in the development of organometallic chemistry. Ferrocene was synthesized and characterized by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and IR spectroscopy. Both spectra are consistent with the 18 </w:t>
      </w:r>
      <w:r>
        <w:rPr>
          <w:rFonts w:ascii="Times New Roman" w:hAnsi="Times New Roman" w:cs="Times New Roman" w:eastAsia="Times New Roman"/>
          <w:i/>
          <w:color w:val="auto"/>
          <w:spacing w:val="0"/>
          <w:position w:val="0"/>
          <w:sz w:val="24"/>
          <w:shd w:fill="auto" w:val="clear"/>
        </w:rPr>
        <w:t xml:space="preserve">e</w:t>
      </w:r>
      <w:r>
        <w:rPr>
          <w:rFonts w:ascii="Cambria Math" w:hAnsi="Cambria Math" w:cs="Cambria Math" w:eastAsia="Cambria Math"/>
          <w:i/>
          <w:color w:val="auto"/>
          <w:spacing w:val="0"/>
          <w:position w:val="0"/>
          <w:sz w:val="24"/>
          <w:shd w:fill="auto" w:val="clear"/>
          <w:vertAlign w:val="superscript"/>
        </w:rPr>
        <w:t xml:space="preserve">−</w:t>
      </w:r>
      <w:r>
        <w:rPr>
          <w:rFonts w:ascii="Times New Roman" w:hAnsi="Times New Roman" w:cs="Times New Roman" w:eastAsia="Times New Roman"/>
          <w:i/>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Structure II, where the iron is “sandwiched” between two cyclopentadiene ligands, with equal binding to all 10 carbon atoms (</w:t>
      </w:r>
      <w:r>
        <w:rPr>
          <w:rFonts w:ascii="Times New Roman" w:hAnsi="Times New Roman" w:cs="Times New Roman" w:eastAsia="Times New Roman"/>
          <w:b/>
          <w:color w:val="auto"/>
          <w:spacing w:val="0"/>
          <w:position w:val="0"/>
          <w:sz w:val="24"/>
          <w:shd w:fill="auto" w:val="clear"/>
        </w:rPr>
        <w:t xml:space="preserve">Figure 1, Structure II</w:t>
      </w:r>
      <w:r>
        <w:rPr>
          <w:rFonts w:ascii="Times New Roman" w:hAnsi="Times New Roman" w:cs="Times New Roman" w:eastAsia="Times New Roman"/>
          <w:color w:val="auto"/>
          <w:spacing w:val="0"/>
          <w:position w:val="0"/>
          <w:sz w:val="24"/>
          <w:shd w:fill="auto" w:val="clear"/>
        </w:rPr>
        <w:t xml:space="preserve">). Oxidation of ferrocene to ferrocenium cation was observed electrochemically.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1973, following the structural characterization of ferrocene, Wilkinson was one of two chemists awarded the Nobel Prize in Chemistry “for [his] pioneering work … on the chemistry of the organometallic, so called sandwich complexes”. His work greatly influenced and expanded the emerging field of organometallic chemistry. While the first organometallic compound was prepared in 1849, it was only in the 1950’s that significant advancements were made to understanding how metals can bond to carbon atoms. Today, the field of organometallic chemistry, or the chemistry of compounds that form metal-carbon bonds, is central to many applications. This includes: energy, dye-sensitized solar cells, catalysis, polymerization, drug discovery and synthesis, bioinorganic systems, and organic light-emitting diodes (OLEDs).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Ferrocene itself also plays an active role in the field of organometallic chemistry. Ferrocene readily participates in electrophilic aromatic substitution; in fact, it is 100,000 times more reactive than benzene in these reactions. Ferrocene has found widespread application as a structural component of bidentate ligands in organometallic catalysis. For example, 1,1’-bis(diphenylphosphino)ferrocene (dppf) is a chelating ligand used in homogeneous catalysis. The ligand dppf chelates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and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row transition metals including Ni, Pd, and Pt. [1,1'-Bis(diphenylphosphino) ferrocene]palladium(II) dichloride is an example of a palladium cross-coupling catalyst for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heteroatom bond formation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In the video “MO Theory of Transition Metal Complexes”, we will synthesize two metal complexes featuring dppf.</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9091" w:dyaOrig="10650">
          <v:rect xmlns:o="urn:schemas-microsoft-com:office:office" xmlns:v="urn:schemas-microsoft-com:vml" id="rectole0000000004" style="width:454.550000pt;height:532.5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[1,1'-Bis(diphenylphosphino) ferrocene]palladium(II) dichloride is a cross-coupling catalyst for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X bond formation.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