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mbria" w:hAnsi="Cambria" w:cs="Cambria" w:eastAsia="Cambria"/>
          <w:color w:val="000000"/>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br/>
      </w:r>
      <w:r>
        <w:rPr>
          <w:rFonts w:ascii="Cambria" w:hAnsi="Cambria" w:cs="Cambria" w:eastAsia="Cambria"/>
          <w:color w:val="000000"/>
          <w:spacing w:val="0"/>
          <w:position w:val="0"/>
          <w:sz w:val="24"/>
          <w:shd w:fill="auto" w:val="clear"/>
        </w:rPr>
        <w:t xml:space="preserve">Language: The N400 in Semantic Incongruity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Sarah I. Gimbel &amp;amp; Jonas T. Kaplan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Understanding language is one of the most complex cognitive tasks that humans are capable of. Given the incredible amount of possible choices when combining individual words to form meaning in sentences, it is crucial that the brain is able to identify when words form coherent combinations and when an anomaly appears that undermines meaning. Extensive research has shown that certain scalp-recorded electrical events are sensitive to deviations in this kind of expectation. Importantly, these electrical signatures of incongruity are specific to unexpected meanings, and are therefore different from the brain’s general responses to other kinds of anomalies.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neurophysiological correlates of semantic incongruity have been experimentally examined through the use of paradigms that present semantically congruent and incongruent ends to sentences. Originally introduced in 1980, the semantic incongruity task presents the participant with a series of sentences that end with either a congruent or incongruent word. To test that the response is from semantic incongruity and not more generally due to surprise, some sentences included words presented in a different size.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semantically incongruent end to a sentence has been shown to elicit specific electrical events that are recordable at the scalp known as event-related potentials (ERPs). An ERP is the measured brain response resulting from a specific sensory, cognitive, or motor event. ERPs are measured using electroencephalography (EEG), a noninvasive means of evaluating brain function in patients with disease and normally functioning individuals. A specific ERP component found across the scalp, known as the N400, shows greater amplitude in response to semantically incongruent events. The N400 is a negative-going deflection in the EEG signal that occurs about between 250 and 400 ms after stimulus onset. In general, early potentials reflect sensory-motor processing, while later potentials like the N400 reflect cognitive processing.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show how to administer a semantic incongruity task using EEG. The video will cover the setup and administration of EEG, and analysis of ERPs related to both control and target stimuli in the semantic incongruity. In this task, participants are set up with the EEG electrodes, then brain activity is recorded while they view control sentences and semantically incongruent sentences. The EEG procedure is similar to that of Habibi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the task is modeled after Kutas and Hillyard.</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When the ERPs are averaged across the congruous and incongruous sentences, the neural correlates of each event can be compared in a selected time window.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Participant recruitment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Recruit 20 participants for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Make sure that the participants have been fully informed of the research procedures and have signed all the appropriate consent forms.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Data collection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Electrode placement. </w:t>
      </w:r>
      <w:r>
        <w:rPr>
          <w:rFonts w:ascii="Times New Roman" w:hAnsi="Times New Roman" w:cs="Times New Roman" w:eastAsia="Times New Roman"/>
          <w:color w:val="auto"/>
          <w:spacing w:val="0"/>
          <w:position w:val="0"/>
          <w:sz w:val="24"/>
          <w:shd w:fill="auto" w:val="clear"/>
        </w:rPr>
        <w:t xml:space="preserve">Placement of the face electrodes to detect EOG artifacts and record mastoid movement (A). Diagram of measurement from directly between the eyebrows to just under the bump in the back of the head. 10% of this measurement is measured above the mid-eye mark, and this is where the FPZ electrode of the cap is placed (B).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EEG preparation (Note: These steps are for use with the Neuroscan 4.3 system with Synamps 2 amplifier and a 64-channel quick cap.)</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Participants in an EEG study should not have any hair products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gel, mouse, or leave-in conditioner) in their hair prior to their participation.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Fill 2-4, 10-ml syringes with conductive electrode-gel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Quick-gel). It is suggested to stir the gel before using it to release air bubbles.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Brush hair and scalp thoroughly (about 5 min).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Clean head with alcohol and cotton gauze. Also clean the skin for placement of electrodes: two mastoids (behind each ear), below and above the left eye VEO (vertical electro-ocular), and the far sides of each eye HEO (horizontal electro-ocular;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left).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w:t>
        <w:tab/>
        <w:t xml:space="preserve">Using two-sided adhesive disks, place the electrodes.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w:t>
        <w:tab/>
        <w:t xml:space="preserve">Measure the head from the front (directly between the eyebrows, mid-eye) to the inion (below the bump of the head in the back). This distance will determine the size of the cap (small, medium, or large). To place the cap, mark the 10% of the measured distance on the forehead and make sure that the mid-frontal electrode (FPz) is placed on this marked point.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w:t>
        <w:tab/>
        <w:t xml:space="preserve">Attach the face electrodes to their respective cords on the cap.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w:t>
        <w:tab/>
        <w:t xml:space="preserve">Start filling the electrodes with gel, using the blunt needle tip to scrape the hair aside underneath the electrode, so the electrode is in direct contact with the scalp. Be mindful not to injure the skin.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2.1.8.1.</w:t>
        <w:tab/>
        <w:t xml:space="preserve">Lifting up the electrode a bit makes it easier to insert the gel. In most cases, there will be hair underneath the electrode. Moving it out of the way will allow for better impedance.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2.1.9.</w:t>
        <w:tab/>
        <w:t xml:space="preserve">Take the participant to the soundproof room and plug in the cap and individual electrodes.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2.1.10.</w:t>
        <w:tab/>
        <w:t xml:space="preserve">Check the impedance of the electrode-scalp connection to keep it under 10 K&amp;#937;. If the impedance is high make sure the electrode has conductive gel and is in touch with the scalp.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2.1.10.1.</w:t>
        <w:tab/>
        <w:t xml:space="preserve">Impedance is the tendency to impede the flow of an alternating current. High impedance may increase noise in the data and should be minimized before the study begins.</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2.1.10.2.</w:t>
        <w:tab/>
        <w:t xml:space="preserve">In most cases, the hair is in the way of the electrode. Moving it out of the way should get better impedance. </w:t>
      </w:r>
    </w:p>
    <w:p>
      <w:pPr>
        <w:spacing w:before="0" w:after="0" w:line="240"/>
        <w:ind w:right="0" w:left="223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2.1.11.</w:t>
        <w:tab/>
        <w:t xml:space="preserve">Once the impedance is acceptable for all electrodes and EEG traces are void of noise, data collection can begin.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EEG data collection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Prepare the participant to do the task.</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2.2.1.1.</w:t>
        <w:tab/>
        <w:t xml:space="preserve">Place the participant in a chair 75 cm from the computer screen, in a sound and light-attenuated room (acoustically and electrically shielded).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w:t>
        <w:tab/>
        <w:t xml:space="preserve">Tell the participant that he/she will be reading seven-word sentences, presented one word at a time on the screen in front of them. They are to read each sentence in order to answer questions about the contents of the sentences at the end of the experiment. </w:t>
      </w:r>
    </w:p>
    <w:p>
      <w:pPr>
        <w:spacing w:before="0" w:after="0" w:line="240"/>
        <w:ind w:right="0" w:left="2232"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2232" w:hanging="7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2.2.1.2.1.</w:t>
        <w:tab/>
        <w:t xml:space="preserve">Each of the seven words of the sentence is shown individually for 100 ms, with a 1000 ms interstimulus interval between each word. </w:t>
      </w:r>
    </w:p>
    <w:p>
      <w:pPr>
        <w:spacing w:before="0" w:after="0" w:line="240"/>
        <w:ind w:right="0" w:left="223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736" w:hanging="9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2.2.1.2.1.1.</w:t>
        <w:tab/>
        <w:t xml:space="preserve">Words are presented one at a time in the center of the screen to minimize eye movements during the experiment.</w:t>
      </w:r>
    </w:p>
    <w:p>
      <w:pPr>
        <w:spacing w:before="0" w:after="0" w:line="240"/>
        <w:ind w:right="0" w:left="2232"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2232" w:hanging="7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2.2.1.2.2.</w:t>
        <w:tab/>
        <w:t xml:space="preserve">The participant first sees 10 practice sentences.</w:t>
      </w:r>
    </w:p>
    <w:p>
      <w:pPr>
        <w:spacing w:before="0" w:after="0" w:line="240"/>
        <w:ind w:right="0" w:left="223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232" w:hanging="7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2.2.1.2.3.</w:t>
        <w:tab/>
        <w:t xml:space="preserve">Show the 240 stimuli in a random order, in two presentations of 120 sentences. One-third of the sentences are normal sentences, where the last word is semantically congruent with the rest of the sentence. One-third of the sentences are incongruent sentences, where the last word is semantically incongruent with the rest of the sentence. One-third of the sentences are normal sentences where the last word is presented in a larger font than the rest of the sentence.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Start the system, and have continuous recording of EEG throughout the presentation of the functional task.</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EEG is amplified by amplifiers with a gain of 1024 and a band-pass of 0.01–100 Hz.</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Trials contaminated by eye-blinks and artifact rejection (approximately 15% of trials) will be eliminated off-line.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Data analysis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Offline, reference data to averaged mastoids.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Epochs are baseline corrected using the epoch 200 ms before the onset of the stimulus.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To correct for motion artifacts, exclude </w:t>
      </w:r>
      <w:r>
        <w:rPr>
          <w:rFonts w:ascii="Times" w:hAnsi="Times" w:cs="Times" w:eastAsia="Times"/>
          <w:color w:val="auto"/>
          <w:spacing w:val="0"/>
          <w:position w:val="0"/>
          <w:sz w:val="24"/>
          <w:shd w:fill="auto" w:val="clear"/>
        </w:rPr>
        <w:t xml:space="preserve">epochs with a signal change exceeding 150 &amp;#181;V at any EEG electrode in the average.</w:t>
      </w:r>
    </w:p>
    <w:p>
      <w:pPr>
        <w:spacing w:before="0" w:after="0" w:line="240"/>
        <w:ind w:right="0" w:left="792" w:firstLine="0"/>
        <w:jc w:val="left"/>
        <w:rPr>
          <w:rFonts w:ascii="Times" w:hAnsi="Times" w:cs="Times" w:eastAsia="Times"/>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Digitally filter the data offline (bandpass 0.05–20 Hz).</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Use the ERP averages that are displayed from the Pz recording sites for the time course of each sentence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3.5.1.</w:t>
        <w:tab/>
        <w:t xml:space="preserve">The peak (amplitude and latency) of the parietal N400 is automatically obtained from all electrodes. </w:t>
      </w:r>
    </w:p>
    <w:p>
      <w:pPr>
        <w:spacing w:before="0" w:after="160" w:line="259"/>
        <w:ind w:right="0" w:left="360" w:firstLine="0"/>
        <w:jc w:val="left"/>
        <w:rPr>
          <w:rFonts w:ascii="Times New Roman" w:hAnsi="Times New Roman" w:cs="Times New Roman" w:eastAsia="Times New Roman"/>
          <w:b/>
          <w:color w:val="auto"/>
          <w:spacing w:val="0"/>
          <w:position w:val="0"/>
          <w:sz w:val="22"/>
          <w:shd w:fill="auto" w:val="clear"/>
        </w:rPr>
      </w:pPr>
    </w:p>
    <w:p>
      <w:pPr>
        <w:spacing w:before="0" w:after="160" w:line="259"/>
        <w:ind w:right="0" w:left="360" w:firstLine="0"/>
        <w:jc w:val="left"/>
        <w:rPr>
          <w:rFonts w:ascii="Cambria" w:hAnsi="Cambria" w:cs="Cambria" w:eastAsia="Cambria"/>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Results of the semantic incongruity task. </w:t>
      </w:r>
      <w:r>
        <w:rPr>
          <w:rFonts w:ascii="Times New Roman" w:hAnsi="Times New Roman" w:cs="Times New Roman" w:eastAsia="Times New Roman"/>
          <w:color w:val="auto"/>
          <w:spacing w:val="0"/>
          <w:position w:val="0"/>
          <w:sz w:val="22"/>
          <w:shd w:fill="auto" w:val="clear"/>
        </w:rPr>
        <w:t xml:space="preserve">The participant is presented with a sentence, one word at a time. Each word appears for 100 ms, followed by 1 s of a blank screen. Participants see congruous sentences (red), incongruous sentences (blue), and sentences where the last word is presented in a larger size (green). Only the incongruous sentences produce the N400 response when the last word is presented. When the last word is congruous but larger in size, there is a later P560 response.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8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Statistical analysis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3.6.1.</w:t>
        <w:tab/>
        <w:t xml:space="preserve">Plot ERP averages from the parietal Pz electrodes for congruent, incongruent, and deviant size conditions.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3.6.2.</w:t>
        <w:tab/>
        <w:t xml:space="preserve">For peak amplitude and latencies, use F-tests for each latency range to determine whether there is a difference between target and control stimuli.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the semantic incongruity task where participants viewed congruous sentences, incongruous sentences, and sentences where the last word was presented in a larger size, there was a negative-going N400 response only for the incongruous sentences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blue). Sentences with a surprising element (larger last word) that was not semantically incongruous did not show an N400 response, but did show an increased P560 response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red). The N400 response started about 250 ms after the presentation of the last word of the sentence and peaked about 400 ms after the stimulus onset.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results show that electrical activity in the brain, and particularly in the parietal lobe, registers when a semantically incongruous word is presented as part of a sentence. This electrical event reflects the neural processes that identify the interruption of ongoing sentence processing by a semantically inappropriate word. The N400 seems to provide useful information about the timing, classification, and interactions of cognitive processes involved in natural language processing and comprehension.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demonstrates some of the advantages of the ERP approach, in particular, its high temporal resolution. In this paradigm, to simulate natural reading, word stimuli are presented very briefly in succession. Because of the excellent temporal resolution of EEG, we are able to discern electrical responses to the stimuli individually.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marker of semantic processing, the N400 can be a useful tool in understanding the development of language from childhood to adulthood. Study of this component shows that even in 19-month-old babies, there is a semantic incongruity effect when they hear words that don’t match pictures they are seeing.</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This demonstrates the very early presence of a mechanism for matching words to their proper context. However, while young adolescents show an N400 that discriminates between congruent and incongruent language, the response profile of this component is not yet as nuanced as that of adults; for example, it is not as sensitive to different degrees of incongruity.</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These studies demonstrate the sensitivity of this ERP component as an index of semantic processing.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Habibi, A., Wirantana, V. &amp;amp; Starr, A. Cortical Activity during Perception of Musical Rhythm; Comparing Musicians and Non-musicians. </w:t>
      </w:r>
      <w:r>
        <w:rPr>
          <w:rFonts w:ascii="Cambria" w:hAnsi="Cambria" w:cs="Cambria" w:eastAsia="Cambria"/>
          <w:i/>
          <w:color w:val="auto"/>
          <w:spacing w:val="0"/>
          <w:position w:val="0"/>
          <w:sz w:val="24"/>
          <w:shd w:fill="auto" w:val="clear"/>
        </w:rPr>
        <w:t xml:space="preserve">Psychomusicology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 125-135 (2014). </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Kutas, M., &amp;amp; Hillyard, S. A. (1980). Reading Senseless Sentences: Brain Potentials Reflect Semantic Incongruity. </w:t>
      </w:r>
      <w:r>
        <w:rPr>
          <w:rFonts w:ascii="Cambria" w:hAnsi="Cambria" w:cs="Cambria" w:eastAsia="Cambria"/>
          <w:i/>
          <w:color w:val="auto"/>
          <w:spacing w:val="0"/>
          <w:position w:val="0"/>
          <w:sz w:val="24"/>
          <w:shd w:fill="auto" w:val="clear"/>
        </w:rPr>
        <w:t xml:space="preserve">Science, 207(4427), </w:t>
      </w:r>
      <w:r>
        <w:rPr>
          <w:rFonts w:ascii="Cambria" w:hAnsi="Cambria" w:cs="Cambria" w:eastAsia="Cambria"/>
          <w:color w:val="auto"/>
          <w:spacing w:val="0"/>
          <w:position w:val="0"/>
          <w:sz w:val="24"/>
          <w:shd w:fill="auto" w:val="clear"/>
        </w:rPr>
        <w:t xml:space="preserve">203-205.</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Friedrich, M., &amp;amp; Friederici, A. D. (2004). N400-like Semantic incongruity effect in 19-month olds: Processing known words in picture contexts. </w:t>
      </w:r>
      <w:r>
        <w:rPr>
          <w:rFonts w:ascii="Cambria" w:hAnsi="Cambria" w:cs="Cambria" w:eastAsia="Cambria"/>
          <w:i/>
          <w:color w:val="auto"/>
          <w:spacing w:val="0"/>
          <w:position w:val="0"/>
          <w:sz w:val="24"/>
          <w:shd w:fill="auto" w:val="clear"/>
        </w:rPr>
        <w:t xml:space="preserve">Journal of Cognitive Neuroscience</w:t>
      </w:r>
      <w:r>
        <w:rPr>
          <w:rFonts w:ascii="Cambria" w:hAnsi="Cambria" w:cs="Cambria" w:eastAsia="Cambria"/>
          <w:color w:val="auto"/>
          <w:spacing w:val="0"/>
          <w:position w:val="0"/>
          <w:sz w:val="24"/>
          <w:shd w:fill="auto" w:val="clear"/>
        </w:rPr>
        <w:t xml:space="preserve">, 16(8), 1465-1477. </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Benau, E. M., Morris, J., &amp;amp; Couperus, J. W. (2011). Semantic processing in children and adults: Incongruity and the N400. </w:t>
      </w:r>
      <w:r>
        <w:rPr>
          <w:rFonts w:ascii="Cambria" w:hAnsi="Cambria" w:cs="Cambria" w:eastAsia="Cambria"/>
          <w:i/>
          <w:color w:val="auto"/>
          <w:spacing w:val="0"/>
          <w:position w:val="0"/>
          <w:sz w:val="24"/>
          <w:shd w:fill="auto" w:val="clear"/>
        </w:rPr>
        <w:t xml:space="preserve">J Psycholinguist Res, </w:t>
      </w:r>
      <w:r>
        <w:rPr>
          <w:rFonts w:ascii="Cambria" w:hAnsi="Cambria" w:cs="Cambria" w:eastAsia="Cambria"/>
          <w:color w:val="auto"/>
          <w:spacing w:val="0"/>
          <w:position w:val="0"/>
          <w:sz w:val="24"/>
          <w:shd w:fill="auto" w:val="clear"/>
        </w:rPr>
        <w:t xml:space="preserve">40, 225-239.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