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F91D5" w14:textId="50D9B823" w:rsidR="00FD4D6F" w:rsidRDefault="00B80196">
      <w:bookmarkStart w:id="0" w:name="_GoBack"/>
      <w:bookmarkEnd w:id="0"/>
      <w:r>
        <w:rPr>
          <w:noProof/>
        </w:rPr>
        <w:drawing>
          <wp:inline distT="0" distB="0" distL="0" distR="0" wp14:anchorId="53B00389" wp14:editId="1EC0D843">
            <wp:extent cx="2054506" cy="26794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506" cy="2679425"/>
                    </a:xfrm>
                    <a:prstGeom prst="rect">
                      <a:avLst/>
                    </a:prstGeom>
                    <a:noFill/>
                    <a:ln>
                      <a:noFill/>
                    </a:ln>
                  </pic:spPr>
                </pic:pic>
              </a:graphicData>
            </a:graphic>
          </wp:inline>
        </w:drawing>
      </w:r>
    </w:p>
    <w:p w14:paraId="657A7151" w14:textId="77777777" w:rsidR="006E2164" w:rsidRDefault="006E2164"/>
    <w:p w14:paraId="255A2192" w14:textId="0A159F53" w:rsidR="006E2164" w:rsidRDefault="006E2164">
      <w:r w:rsidRPr="004F7454">
        <w:rPr>
          <w:b/>
        </w:rPr>
        <w:t xml:space="preserve">Figure 1. </w:t>
      </w:r>
      <w:r w:rsidR="00B80196">
        <w:rPr>
          <w:b/>
        </w:rPr>
        <w:t>Face stimulus and house stimulus superimposed together</w:t>
      </w:r>
      <w:r w:rsidR="004F7454" w:rsidRPr="004F7454">
        <w:rPr>
          <w:b/>
        </w:rPr>
        <w:t>.</w:t>
      </w:r>
      <w:r w:rsidR="00F02EEC">
        <w:t xml:space="preserve"> </w:t>
      </w:r>
      <w:r w:rsidR="00B80196">
        <w:t>Each stimulus presented was a superimposed face and house. The participant was instructed to focus on either the face or the house.</w:t>
      </w:r>
    </w:p>
    <w:p w14:paraId="0DC69C28" w14:textId="77777777" w:rsidR="006E2164" w:rsidRDefault="006E2164">
      <w:r>
        <w:br w:type="page"/>
      </w:r>
    </w:p>
    <w:p w14:paraId="17617443" w14:textId="57CC241F" w:rsidR="006E2164" w:rsidRDefault="006E2164"/>
    <w:p w14:paraId="10B5FDFE" w14:textId="42B6B327" w:rsidR="006E2164" w:rsidRDefault="00723FFE">
      <w:r>
        <w:rPr>
          <w:noProof/>
        </w:rPr>
        <w:drawing>
          <wp:inline distT="0" distB="0" distL="0" distR="0" wp14:anchorId="01DE4656" wp14:editId="18CDC7B8">
            <wp:extent cx="5486400" cy="4844360"/>
            <wp:effectExtent l="0" t="0" r="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844360"/>
                    </a:xfrm>
                    <a:prstGeom prst="rect">
                      <a:avLst/>
                    </a:prstGeom>
                    <a:noFill/>
                    <a:ln>
                      <a:noFill/>
                    </a:ln>
                  </pic:spPr>
                </pic:pic>
              </a:graphicData>
            </a:graphic>
          </wp:inline>
        </w:drawing>
      </w:r>
    </w:p>
    <w:p w14:paraId="30DDAFF9" w14:textId="77777777" w:rsidR="006E2164" w:rsidRDefault="006E2164"/>
    <w:p w14:paraId="7879E1AC" w14:textId="77777777" w:rsidR="00723FFE" w:rsidRDefault="00723FFE" w:rsidP="00723FFE">
      <w:r>
        <w:rPr>
          <w:b/>
        </w:rPr>
        <w:t>Figure 2</w:t>
      </w:r>
      <w:r w:rsidRPr="004F7454">
        <w:rPr>
          <w:b/>
        </w:rPr>
        <w:t xml:space="preserve">. </w:t>
      </w:r>
      <w:proofErr w:type="gramStart"/>
      <w:r>
        <w:rPr>
          <w:b/>
        </w:rPr>
        <w:t>Localizer for the Fusiform Face Area (FFA) and the Parahippocampal Place Area (PPA)</w:t>
      </w:r>
      <w:r w:rsidRPr="004F7454">
        <w:rPr>
          <w:b/>
        </w:rPr>
        <w:t>.</w:t>
      </w:r>
      <w:proofErr w:type="gramEnd"/>
      <w:r>
        <w:t xml:space="preserve"> </w:t>
      </w:r>
      <w:proofErr w:type="gramStart"/>
      <w:r>
        <w:t>Example of a single subject localization of the FFA during blocks of viewing faces and the PPA during block of viewing houses (top).</w:t>
      </w:r>
      <w:proofErr w:type="gramEnd"/>
      <w:r>
        <w:t xml:space="preserve"> Signal in the FFA was increased during blocks of faces but not houses (blue), and signal in the PPA was increased during blocks of houses but not faces (green). </w:t>
      </w:r>
    </w:p>
    <w:p w14:paraId="057EB8ED" w14:textId="76D36F3A" w:rsidR="00723FFE" w:rsidRDefault="00723FFE">
      <w:r>
        <w:br w:type="page"/>
      </w:r>
    </w:p>
    <w:p w14:paraId="285F0C11" w14:textId="73FECA05" w:rsidR="006E2164" w:rsidRDefault="00BC405A">
      <w:r>
        <w:rPr>
          <w:noProof/>
        </w:rPr>
        <w:lastRenderedPageBreak/>
        <w:drawing>
          <wp:inline distT="0" distB="0" distL="0" distR="0" wp14:anchorId="10990C25" wp14:editId="5E0F1665">
            <wp:extent cx="5486400" cy="3472815"/>
            <wp:effectExtent l="0" t="0" r="25400" b="323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C1E77E" w14:textId="68942A90" w:rsidR="00723FFE" w:rsidRDefault="00723FFE">
      <w:r>
        <w:rPr>
          <w:b/>
        </w:rPr>
        <w:t>Figure 3</w:t>
      </w:r>
      <w:r w:rsidRPr="004F7454">
        <w:rPr>
          <w:b/>
        </w:rPr>
        <w:t xml:space="preserve">. </w:t>
      </w:r>
      <w:proofErr w:type="gramStart"/>
      <w:r>
        <w:rPr>
          <w:b/>
        </w:rPr>
        <w:t>Activation in the Fusiform Face Area (FFA) and the Parahippocampal Place Area (PPA) during attention switching task</w:t>
      </w:r>
      <w:r w:rsidRPr="004F7454">
        <w:rPr>
          <w:b/>
        </w:rPr>
        <w:t>.</w:t>
      </w:r>
      <w:proofErr w:type="gramEnd"/>
      <w:r>
        <w:t xml:space="preserve"> When attention was on the house (green), PPA showed increased activation while FFA did not. Reversely, when focus was on the face (blue), FFA showed increased activation while PPA did not. </w:t>
      </w:r>
    </w:p>
    <w:sectPr w:rsidR="00723FFE" w:rsidSect="00FD08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64"/>
    <w:rsid w:val="004F7454"/>
    <w:rsid w:val="006E2164"/>
    <w:rsid w:val="0071137B"/>
    <w:rsid w:val="00723FFE"/>
    <w:rsid w:val="008C422C"/>
    <w:rsid w:val="009B0860"/>
    <w:rsid w:val="00AF064E"/>
    <w:rsid w:val="00B80196"/>
    <w:rsid w:val="00BC405A"/>
    <w:rsid w:val="00EC51CA"/>
    <w:rsid w:val="00F02EEC"/>
    <w:rsid w:val="00FD0891"/>
    <w:rsid w:val="00FD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102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1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216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1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216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Workbook5"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41628447759819"/>
          <c:y val="3.9260969976905299E-2"/>
          <c:w val="0.82314972141640197"/>
          <c:h val="0.85983088141695896"/>
        </c:manualLayout>
      </c:layout>
      <c:barChart>
        <c:barDir val="col"/>
        <c:grouping val="clustered"/>
        <c:varyColors val="0"/>
        <c:ser>
          <c:idx val="0"/>
          <c:order val="0"/>
          <c:tx>
            <c:strRef>
              <c:f>Sheet1!$B$1</c:f>
              <c:strCache>
                <c:ptCount val="1"/>
                <c:pt idx="0">
                  <c:v>House focus</c:v>
                </c:pt>
              </c:strCache>
            </c:strRef>
          </c:tx>
          <c:spPr>
            <a:solidFill>
              <a:srgbClr val="008000"/>
            </a:solidFill>
          </c:spPr>
          <c:invertIfNegative val="0"/>
          <c:errBars>
            <c:errBarType val="both"/>
            <c:errValType val="fixedVal"/>
            <c:noEndCap val="0"/>
            <c:val val="7.0000000000000007E-2"/>
          </c:errBars>
          <c:cat>
            <c:strRef>
              <c:f>Sheet1!$A$2:$A$3</c:f>
              <c:strCache>
                <c:ptCount val="2"/>
                <c:pt idx="0">
                  <c:v>FFA</c:v>
                </c:pt>
                <c:pt idx="1">
                  <c:v>PPA</c:v>
                </c:pt>
              </c:strCache>
            </c:strRef>
          </c:cat>
          <c:val>
            <c:numRef>
              <c:f>Sheet1!$B$2:$B$3</c:f>
              <c:numCache>
                <c:formatCode>General</c:formatCode>
                <c:ptCount val="2"/>
                <c:pt idx="0">
                  <c:v>0.3</c:v>
                </c:pt>
                <c:pt idx="1">
                  <c:v>0.9</c:v>
                </c:pt>
              </c:numCache>
            </c:numRef>
          </c:val>
        </c:ser>
        <c:ser>
          <c:idx val="1"/>
          <c:order val="1"/>
          <c:tx>
            <c:strRef>
              <c:f>Sheet1!$C$1</c:f>
              <c:strCache>
                <c:ptCount val="1"/>
                <c:pt idx="0">
                  <c:v>Face focus</c:v>
                </c:pt>
              </c:strCache>
            </c:strRef>
          </c:tx>
          <c:spPr>
            <a:solidFill>
              <a:srgbClr val="0000FF"/>
            </a:solidFill>
          </c:spPr>
          <c:invertIfNegative val="0"/>
          <c:errBars>
            <c:errBarType val="both"/>
            <c:errValType val="fixedVal"/>
            <c:noEndCap val="0"/>
            <c:val val="0.05"/>
          </c:errBars>
          <c:cat>
            <c:strRef>
              <c:f>Sheet1!$A$2:$A$3</c:f>
              <c:strCache>
                <c:ptCount val="2"/>
                <c:pt idx="0">
                  <c:v>FFA</c:v>
                </c:pt>
                <c:pt idx="1">
                  <c:v>PPA</c:v>
                </c:pt>
              </c:strCache>
            </c:strRef>
          </c:cat>
          <c:val>
            <c:numRef>
              <c:f>Sheet1!$C$2:$C$3</c:f>
              <c:numCache>
                <c:formatCode>General</c:formatCode>
                <c:ptCount val="2"/>
                <c:pt idx="0">
                  <c:v>1.2</c:v>
                </c:pt>
                <c:pt idx="1">
                  <c:v>0.2</c:v>
                </c:pt>
              </c:numCache>
            </c:numRef>
          </c:val>
        </c:ser>
        <c:dLbls>
          <c:showLegendKey val="0"/>
          <c:showVal val="0"/>
          <c:showCatName val="0"/>
          <c:showSerName val="0"/>
          <c:showPercent val="0"/>
          <c:showBubbleSize val="0"/>
        </c:dLbls>
        <c:gapWidth val="150"/>
        <c:axId val="116341376"/>
        <c:axId val="116343168"/>
      </c:barChart>
      <c:catAx>
        <c:axId val="116341376"/>
        <c:scaling>
          <c:orientation val="minMax"/>
        </c:scaling>
        <c:delete val="0"/>
        <c:axPos val="b"/>
        <c:majorTickMark val="out"/>
        <c:minorTickMark val="none"/>
        <c:tickLblPos val="nextTo"/>
        <c:txPr>
          <a:bodyPr/>
          <a:lstStyle/>
          <a:p>
            <a:pPr>
              <a:defRPr sz="1600">
                <a:latin typeface="+mj-lt"/>
              </a:defRPr>
            </a:pPr>
            <a:endParaRPr lang="en-US"/>
          </a:p>
        </c:txPr>
        <c:crossAx val="116343168"/>
        <c:crosses val="autoZero"/>
        <c:auto val="1"/>
        <c:lblAlgn val="ctr"/>
        <c:lblOffset val="100"/>
        <c:noMultiLvlLbl val="0"/>
      </c:catAx>
      <c:valAx>
        <c:axId val="116343168"/>
        <c:scaling>
          <c:orientation val="minMax"/>
        </c:scaling>
        <c:delete val="0"/>
        <c:axPos val="l"/>
        <c:title>
          <c:tx>
            <c:rich>
              <a:bodyPr rot="-5400000" vert="horz"/>
              <a:lstStyle/>
              <a:p>
                <a:pPr>
                  <a:defRPr sz="2000">
                    <a:latin typeface="+mj-lt"/>
                  </a:defRPr>
                </a:pPr>
                <a:r>
                  <a:rPr lang="en-US" sz="2000">
                    <a:latin typeface="+mj-lt"/>
                  </a:rPr>
                  <a:t>Percent Signal Change</a:t>
                </a:r>
              </a:p>
            </c:rich>
          </c:tx>
          <c:overlay val="0"/>
        </c:title>
        <c:numFmt formatCode="General" sourceLinked="1"/>
        <c:majorTickMark val="out"/>
        <c:minorTickMark val="none"/>
        <c:tickLblPos val="nextTo"/>
        <c:txPr>
          <a:bodyPr/>
          <a:lstStyle/>
          <a:p>
            <a:pPr>
              <a:defRPr sz="1400">
                <a:latin typeface="+mj-lt"/>
              </a:defRPr>
            </a:pPr>
            <a:endParaRPr lang="en-US"/>
          </a:p>
        </c:txPr>
        <c:crossAx val="116341376"/>
        <c:crosses val="autoZero"/>
        <c:crossBetween val="between"/>
      </c:valAx>
    </c:plotArea>
    <c:legend>
      <c:legendPos val="r"/>
      <c:layout>
        <c:manualLayout>
          <c:xMode val="edge"/>
          <c:yMode val="edge"/>
          <c:x val="0.60110855934674801"/>
          <c:y val="3.5033539074209197E-2"/>
          <c:w val="0.34479786380868999"/>
          <c:h val="0.214188489741031"/>
        </c:manualLayout>
      </c:layout>
      <c:overlay val="0"/>
      <c:txPr>
        <a:bodyPr/>
        <a:lstStyle/>
        <a:p>
          <a:pPr>
            <a:defRPr sz="1800">
              <a:latin typeface="+mj-lt"/>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Gimbel</dc:creator>
  <cp:lastModifiedBy>David Repetto</cp:lastModifiedBy>
  <cp:revision>2</cp:revision>
  <dcterms:created xsi:type="dcterms:W3CDTF">2015-11-11T00:26:00Z</dcterms:created>
  <dcterms:modified xsi:type="dcterms:W3CDTF">2015-11-11T00:26:00Z</dcterms:modified>
</cp:coreProperties>
</file>