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873" w:tblpY="3421"/>
        <w:tblW w:w="8515" w:type="dxa"/>
        <w:tblLook w:val="04A0" w:firstRow="1" w:lastRow="0" w:firstColumn="1" w:lastColumn="0" w:noHBand="0" w:noVBand="1"/>
      </w:tblPr>
      <w:tblGrid>
        <w:gridCol w:w="1969"/>
        <w:gridCol w:w="1602"/>
        <w:gridCol w:w="1470"/>
        <w:gridCol w:w="3474"/>
      </w:tblGrid>
      <w:tr w:rsidR="00E7045A" w:rsidRPr="00C22EE3" w14:paraId="1B108749" w14:textId="77777777" w:rsidTr="0072558B">
        <w:trPr>
          <w:trHeight w:val="506"/>
        </w:trPr>
        <w:tc>
          <w:tcPr>
            <w:tcW w:w="1969" w:type="dxa"/>
          </w:tcPr>
          <w:p w14:paraId="08673842" w14:textId="77777777" w:rsidR="00E7045A" w:rsidRPr="00C22EE3" w:rsidRDefault="00E7045A" w:rsidP="0072558B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Verdana"/>
                <w:b/>
                <w:bCs/>
                <w:sz w:val="28"/>
                <w:szCs w:val="28"/>
              </w:rPr>
            </w:pPr>
            <w:r w:rsidRPr="00C22EE3">
              <w:rPr>
                <w:rFonts w:ascii="Cambria" w:hAnsi="Cambria" w:cs="Verdana"/>
                <w:b/>
                <w:bCs/>
                <w:sz w:val="28"/>
                <w:szCs w:val="28"/>
              </w:rPr>
              <w:t>Drying Agent</w:t>
            </w:r>
          </w:p>
        </w:tc>
        <w:tc>
          <w:tcPr>
            <w:tcW w:w="1602" w:type="dxa"/>
          </w:tcPr>
          <w:p w14:paraId="7AE5FAB0" w14:textId="77777777" w:rsidR="00E7045A" w:rsidRPr="00C22EE3" w:rsidRDefault="00E7045A" w:rsidP="007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Verdana"/>
                <w:b/>
                <w:bCs/>
                <w:sz w:val="28"/>
                <w:szCs w:val="28"/>
              </w:rPr>
            </w:pPr>
            <w:r w:rsidRPr="00C22EE3">
              <w:rPr>
                <w:rFonts w:ascii="Cambria" w:hAnsi="Cambria" w:cs="Verdana"/>
                <w:b/>
                <w:bCs/>
                <w:sz w:val="28"/>
                <w:szCs w:val="28"/>
              </w:rPr>
              <w:t>Capacity</w:t>
            </w:r>
          </w:p>
        </w:tc>
        <w:tc>
          <w:tcPr>
            <w:tcW w:w="1470" w:type="dxa"/>
          </w:tcPr>
          <w:p w14:paraId="63CF3369" w14:textId="77777777" w:rsidR="00E7045A" w:rsidRPr="00C22EE3" w:rsidRDefault="00E7045A" w:rsidP="007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Verdana"/>
                <w:b/>
                <w:bCs/>
                <w:sz w:val="28"/>
                <w:szCs w:val="28"/>
              </w:rPr>
            </w:pPr>
            <w:r w:rsidRPr="00C22EE3">
              <w:rPr>
                <w:rFonts w:ascii="Cambria" w:hAnsi="Cambria" w:cs="Verdana"/>
                <w:b/>
                <w:bCs/>
                <w:sz w:val="28"/>
                <w:szCs w:val="28"/>
              </w:rPr>
              <w:t>Speed</w:t>
            </w:r>
          </w:p>
        </w:tc>
        <w:tc>
          <w:tcPr>
            <w:tcW w:w="3474" w:type="dxa"/>
          </w:tcPr>
          <w:p w14:paraId="1EF43E8E" w14:textId="77777777" w:rsidR="00E7045A" w:rsidRPr="00C22EE3" w:rsidRDefault="00E7045A" w:rsidP="007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Verdana"/>
                <w:b/>
                <w:bCs/>
                <w:sz w:val="28"/>
                <w:szCs w:val="28"/>
              </w:rPr>
            </w:pPr>
            <w:r w:rsidRPr="00C22EE3">
              <w:rPr>
                <w:rFonts w:ascii="Cambria" w:hAnsi="Cambria" w:cs="Verdana"/>
                <w:b/>
                <w:bCs/>
                <w:sz w:val="28"/>
                <w:szCs w:val="28"/>
              </w:rPr>
              <w:t>Suitability</w:t>
            </w:r>
          </w:p>
        </w:tc>
      </w:tr>
      <w:tr w:rsidR="00E7045A" w:rsidRPr="00C22EE3" w14:paraId="4C72E233" w14:textId="77777777" w:rsidTr="0072558B">
        <w:trPr>
          <w:trHeight w:val="216"/>
        </w:trPr>
        <w:tc>
          <w:tcPr>
            <w:tcW w:w="1969" w:type="dxa"/>
          </w:tcPr>
          <w:p w14:paraId="6422A9C0" w14:textId="77777777" w:rsidR="00E7045A" w:rsidRPr="00C22EE3" w:rsidRDefault="00E7045A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Na</w:t>
            </w:r>
            <w:r w:rsidRPr="00C22EE3">
              <w:rPr>
                <w:rFonts w:ascii="Cambria" w:hAnsi="Cambria" w:cs="Verdana"/>
                <w:sz w:val="24"/>
                <w:szCs w:val="24"/>
                <w:vertAlign w:val="subscript"/>
              </w:rPr>
              <w:t>2</w:t>
            </w:r>
            <w:r w:rsidRPr="00C22EE3">
              <w:rPr>
                <w:rFonts w:ascii="Cambria" w:hAnsi="Cambria" w:cs="Verdana"/>
                <w:sz w:val="24"/>
                <w:szCs w:val="24"/>
              </w:rPr>
              <w:t>SO</w:t>
            </w:r>
            <w:r w:rsidRPr="00C22EE3">
              <w:rPr>
                <w:rFonts w:ascii="Cambria" w:hAnsi="Cambria" w:cs="Verdana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02" w:type="dxa"/>
          </w:tcPr>
          <w:p w14:paraId="20D7075D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high</w:t>
            </w:r>
          </w:p>
        </w:tc>
        <w:tc>
          <w:tcPr>
            <w:tcW w:w="1470" w:type="dxa"/>
          </w:tcPr>
          <w:p w14:paraId="744241BD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low</w:t>
            </w:r>
          </w:p>
        </w:tc>
        <w:tc>
          <w:tcPr>
            <w:tcW w:w="3474" w:type="dxa"/>
          </w:tcPr>
          <w:p w14:paraId="2CE0F063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Generally useful</w:t>
            </w:r>
          </w:p>
        </w:tc>
      </w:tr>
      <w:tr w:rsidR="00E7045A" w:rsidRPr="00C22EE3" w14:paraId="6726157B" w14:textId="77777777" w:rsidTr="0072558B">
        <w:trPr>
          <w:trHeight w:val="216"/>
        </w:trPr>
        <w:tc>
          <w:tcPr>
            <w:tcW w:w="1969" w:type="dxa"/>
          </w:tcPr>
          <w:p w14:paraId="6E5CAF5E" w14:textId="77777777" w:rsidR="00E7045A" w:rsidRPr="00C22EE3" w:rsidRDefault="00E7045A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MgSO</w:t>
            </w:r>
            <w:r w:rsidRPr="00C22EE3">
              <w:rPr>
                <w:rFonts w:ascii="Cambria" w:hAnsi="Cambria" w:cs="Verdana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02" w:type="dxa"/>
          </w:tcPr>
          <w:p w14:paraId="74C0981D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high</w:t>
            </w:r>
          </w:p>
        </w:tc>
        <w:tc>
          <w:tcPr>
            <w:tcW w:w="1470" w:type="dxa"/>
          </w:tcPr>
          <w:p w14:paraId="1B989131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high</w:t>
            </w:r>
          </w:p>
        </w:tc>
        <w:tc>
          <w:tcPr>
            <w:tcW w:w="3474" w:type="dxa"/>
          </w:tcPr>
          <w:p w14:paraId="4706B3A2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 xml:space="preserve">Generally </w:t>
            </w:r>
            <w:proofErr w:type="spellStart"/>
            <w:r w:rsidRPr="00C22EE3">
              <w:rPr>
                <w:rFonts w:ascii="Cambria" w:hAnsi="Cambria" w:cs="Verdana"/>
                <w:sz w:val="24"/>
                <w:szCs w:val="24"/>
              </w:rPr>
              <w:t>uselful</w:t>
            </w:r>
            <w:proofErr w:type="spellEnd"/>
          </w:p>
        </w:tc>
      </w:tr>
      <w:tr w:rsidR="00E7045A" w:rsidRPr="00C22EE3" w14:paraId="13112D9B" w14:textId="77777777" w:rsidTr="0072558B">
        <w:trPr>
          <w:trHeight w:val="216"/>
        </w:trPr>
        <w:tc>
          <w:tcPr>
            <w:tcW w:w="1969" w:type="dxa"/>
          </w:tcPr>
          <w:p w14:paraId="3B130266" w14:textId="77777777" w:rsidR="00E7045A" w:rsidRPr="00C22EE3" w:rsidRDefault="00E7045A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CaCl</w:t>
            </w:r>
            <w:r w:rsidRPr="00C22EE3">
              <w:rPr>
                <w:rFonts w:ascii="Cambria" w:hAnsi="Cambria" w:cs="Verdan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02" w:type="dxa"/>
          </w:tcPr>
          <w:p w14:paraId="634FE06A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high</w:t>
            </w:r>
          </w:p>
        </w:tc>
        <w:tc>
          <w:tcPr>
            <w:tcW w:w="1470" w:type="dxa"/>
          </w:tcPr>
          <w:p w14:paraId="0A6128CA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medium</w:t>
            </w:r>
          </w:p>
        </w:tc>
        <w:tc>
          <w:tcPr>
            <w:tcW w:w="3474" w:type="dxa"/>
          </w:tcPr>
          <w:p w14:paraId="4C667E89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Useful for hydrocarbons*</w:t>
            </w:r>
          </w:p>
        </w:tc>
      </w:tr>
      <w:tr w:rsidR="00E7045A" w:rsidRPr="00C22EE3" w14:paraId="455118F1" w14:textId="77777777" w:rsidTr="0072558B">
        <w:trPr>
          <w:trHeight w:val="216"/>
        </w:trPr>
        <w:tc>
          <w:tcPr>
            <w:tcW w:w="1969" w:type="dxa"/>
          </w:tcPr>
          <w:p w14:paraId="150F5300" w14:textId="77777777" w:rsidR="00E7045A" w:rsidRPr="00C22EE3" w:rsidRDefault="00E7045A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CaSO</w:t>
            </w:r>
            <w:r w:rsidRPr="00C22EE3">
              <w:rPr>
                <w:rFonts w:ascii="Cambria" w:hAnsi="Cambria" w:cs="Verdana"/>
                <w:sz w:val="24"/>
                <w:szCs w:val="24"/>
                <w:vertAlign w:val="subscript"/>
              </w:rPr>
              <w:t>4</w:t>
            </w:r>
            <w:r w:rsidRPr="00C22EE3">
              <w:rPr>
                <w:rFonts w:ascii="Cambria" w:hAnsi="Cambria" w:cs="Verdana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14:paraId="07EFE99D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low</w:t>
            </w:r>
          </w:p>
        </w:tc>
        <w:tc>
          <w:tcPr>
            <w:tcW w:w="1470" w:type="dxa"/>
          </w:tcPr>
          <w:p w14:paraId="19E1F1DF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high</w:t>
            </w:r>
          </w:p>
        </w:tc>
        <w:tc>
          <w:tcPr>
            <w:tcW w:w="3474" w:type="dxa"/>
          </w:tcPr>
          <w:p w14:paraId="0C08B695" w14:textId="77777777" w:rsidR="00E7045A" w:rsidRPr="00C22EE3" w:rsidRDefault="00E7045A" w:rsidP="0072558B">
            <w:pPr>
              <w:pStyle w:val="NormalWeb"/>
              <w:jc w:val="center"/>
              <w:rPr>
                <w:rFonts w:ascii="Cambria" w:hAnsi="Cambria"/>
                <w:sz w:val="24"/>
                <w:szCs w:val="24"/>
              </w:rPr>
            </w:pPr>
            <w:r w:rsidRPr="00C22EE3">
              <w:rPr>
                <w:rFonts w:ascii="Cambria" w:hAnsi="Cambria" w:cs="Verdana"/>
                <w:sz w:val="24"/>
                <w:szCs w:val="24"/>
              </w:rPr>
              <w:t>Generally useful</w:t>
            </w:r>
          </w:p>
        </w:tc>
      </w:tr>
    </w:tbl>
    <w:p w14:paraId="5336B2D6" w14:textId="77777777" w:rsidR="00AE29E2" w:rsidRPr="00C22EE3" w:rsidRDefault="00AE29E2" w:rsidP="00AE29E2">
      <w:pPr>
        <w:pStyle w:val="NormalWeb"/>
        <w:spacing w:before="0" w:beforeAutospacing="0" w:after="0" w:afterAutospacing="0"/>
        <w:ind w:right="720"/>
        <w:rPr>
          <w:rFonts w:ascii="Cambria" w:hAnsi="Cambria" w:cs="Arial"/>
        </w:rPr>
      </w:pP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/>
        </w:rPr>
        <w:br/>
      </w:r>
      <w:r w:rsidRPr="00C22EE3">
        <w:rPr>
          <w:rFonts w:ascii="Cambria" w:hAnsi="Cambria" w:cs="Arial"/>
        </w:rPr>
        <w:t xml:space="preserve">* Organic liquids that are not hydrocarbons, such as alcohols, amines, and different </w:t>
      </w:r>
    </w:p>
    <w:p w14:paraId="74779B0C" w14:textId="77777777" w:rsidR="00AE29E2" w:rsidRPr="00C22EE3" w:rsidRDefault="00AE29E2" w:rsidP="00AE29E2">
      <w:pPr>
        <w:pStyle w:val="NormalWeb"/>
        <w:spacing w:before="0" w:beforeAutospacing="0" w:after="0" w:afterAutospacing="0"/>
        <w:ind w:right="720"/>
        <w:rPr>
          <w:rFonts w:ascii="Cambria" w:hAnsi="Cambria" w:cs="Arial"/>
        </w:rPr>
      </w:pPr>
      <w:proofErr w:type="gramStart"/>
      <w:r w:rsidRPr="00C22EE3">
        <w:rPr>
          <w:rFonts w:ascii="Cambria" w:hAnsi="Cambria" w:cs="Arial"/>
        </w:rPr>
        <w:t>carbonyl</w:t>
      </w:r>
      <w:proofErr w:type="gramEnd"/>
      <w:r w:rsidRPr="00C22EE3">
        <w:rPr>
          <w:rFonts w:ascii="Cambria" w:hAnsi="Cambria" w:cs="Arial"/>
        </w:rPr>
        <w:t xml:space="preserve"> containing compounds are also absorbed by CaCl</w:t>
      </w:r>
      <w:r w:rsidRPr="00C22EE3">
        <w:rPr>
          <w:rFonts w:ascii="Cambria" w:hAnsi="Cambria" w:cs="Arial"/>
          <w:vertAlign w:val="subscript"/>
        </w:rPr>
        <w:t>2</w:t>
      </w:r>
      <w:r w:rsidRPr="00C22EE3">
        <w:rPr>
          <w:rFonts w:ascii="Cambria" w:hAnsi="Cambria" w:cs="Arial"/>
        </w:rPr>
        <w:t xml:space="preserve">. It can’t be used to dry these liquids but it can help remove these types of impurities from a hydrocarbon. </w:t>
      </w:r>
    </w:p>
    <w:p w14:paraId="2B841D5D" w14:textId="77777777" w:rsidR="00B70BEA" w:rsidRPr="00C22EE3" w:rsidRDefault="00B70BEA">
      <w:pPr>
        <w:rPr>
          <w:rFonts w:ascii="Cambria" w:hAnsi="Cambria"/>
        </w:rPr>
      </w:pPr>
      <w:bookmarkStart w:id="0" w:name="_GoBack"/>
      <w:bookmarkEnd w:id="0"/>
    </w:p>
    <w:sectPr w:rsidR="00B70BEA" w:rsidRPr="00C22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5A"/>
    <w:rsid w:val="00AE29E2"/>
    <w:rsid w:val="00B70BEA"/>
    <w:rsid w:val="00C22EE3"/>
    <w:rsid w:val="00E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44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5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4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E7045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5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4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E7045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Andrew Wilkens</cp:lastModifiedBy>
  <cp:revision>3</cp:revision>
  <dcterms:created xsi:type="dcterms:W3CDTF">2015-09-01T17:57:00Z</dcterms:created>
  <dcterms:modified xsi:type="dcterms:W3CDTF">2015-09-15T20:15:00Z</dcterms:modified>
</cp:coreProperties>
</file>