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51BF53" w14:textId="5DA20F76" w:rsidR="00B66021" w:rsidRPr="00720B0E" w:rsidRDefault="00720B0E" w:rsidP="00720B0E">
      <w:pPr>
        <w:spacing w:after="0" w:line="240" w:lineRule="auto"/>
        <w:contextualSpacing/>
        <w:jc w:val="center"/>
        <w:rPr>
          <w:b/>
        </w:rPr>
      </w:pPr>
      <w:r w:rsidRPr="00720B0E">
        <w:rPr>
          <w:b/>
        </w:rPr>
        <w:t xml:space="preserve">Administration Methods III: </w:t>
      </w:r>
      <w:r w:rsidR="003939F6" w:rsidRPr="00720B0E">
        <w:rPr>
          <w:b/>
        </w:rPr>
        <w:t>Intradermal, I</w:t>
      </w:r>
      <w:r w:rsidR="00B66021" w:rsidRPr="00720B0E">
        <w:rPr>
          <w:b/>
        </w:rPr>
        <w:t xml:space="preserve">ntranasal, </w:t>
      </w:r>
      <w:r w:rsidR="002C09D4" w:rsidRPr="00720B0E">
        <w:rPr>
          <w:b/>
        </w:rPr>
        <w:t xml:space="preserve">and </w:t>
      </w:r>
      <w:r w:rsidR="003939F6" w:rsidRPr="00720B0E">
        <w:rPr>
          <w:b/>
        </w:rPr>
        <w:t>I</w:t>
      </w:r>
      <w:r w:rsidR="00B66021" w:rsidRPr="00720B0E">
        <w:rPr>
          <w:b/>
        </w:rPr>
        <w:t>ntracranial</w:t>
      </w:r>
      <w:r w:rsidR="00573C9B" w:rsidRPr="00720B0E">
        <w:rPr>
          <w:b/>
        </w:rPr>
        <w:t xml:space="preserve"> </w:t>
      </w:r>
    </w:p>
    <w:p w14:paraId="5D25C80A" w14:textId="77777777" w:rsidR="00B66021" w:rsidRPr="00720B0E" w:rsidRDefault="00B66021" w:rsidP="00610600">
      <w:pPr>
        <w:spacing w:after="0" w:line="240" w:lineRule="auto"/>
        <w:contextualSpacing/>
        <w:jc w:val="center"/>
        <w:rPr>
          <w:b/>
        </w:rPr>
      </w:pPr>
    </w:p>
    <w:p w14:paraId="1C407046" w14:textId="4AAE0982" w:rsidR="00B66021" w:rsidRPr="00720B0E" w:rsidRDefault="001A2088" w:rsidP="00610600">
      <w:pPr>
        <w:spacing w:after="0" w:line="240" w:lineRule="auto"/>
        <w:contextualSpacing/>
        <w:rPr>
          <w:b/>
        </w:rPr>
      </w:pPr>
      <w:r w:rsidRPr="00720B0E">
        <w:rPr>
          <w:b/>
        </w:rPr>
        <w:t>Overview</w:t>
      </w:r>
    </w:p>
    <w:p w14:paraId="63862EDC" w14:textId="77777777" w:rsidR="00610600" w:rsidRPr="00720B0E" w:rsidRDefault="00610600" w:rsidP="00610600">
      <w:pPr>
        <w:spacing w:after="0" w:line="240" w:lineRule="auto"/>
        <w:contextualSpacing/>
        <w:rPr>
          <w:b/>
        </w:rPr>
      </w:pPr>
    </w:p>
    <w:p w14:paraId="53AF7520" w14:textId="77777777" w:rsidR="00720B0E" w:rsidRPr="00720B0E" w:rsidRDefault="00720B0E" w:rsidP="00720B0E">
      <w:r w:rsidRPr="00720B0E">
        <w:t>Source: Kay Stewart, RVT, RLATG, CMAR; Valerie A. Schroeder, RVT, RLATG. University of Notre Dame, IN</w:t>
      </w:r>
    </w:p>
    <w:p w14:paraId="6F1FFD60" w14:textId="567A3252" w:rsidR="00B66021" w:rsidRPr="00720B0E" w:rsidRDefault="00B66021" w:rsidP="00610600">
      <w:pPr>
        <w:spacing w:after="0" w:line="240" w:lineRule="auto"/>
        <w:contextualSpacing/>
      </w:pPr>
      <w:r w:rsidRPr="00720B0E">
        <w:t xml:space="preserve">There are many commonly used routes for compound administration </w:t>
      </w:r>
      <w:r w:rsidR="00012C89" w:rsidRPr="00720B0E">
        <w:t>in</w:t>
      </w:r>
      <w:r w:rsidR="0050214B" w:rsidRPr="00720B0E">
        <w:t xml:space="preserve"> laboratory mice and rats. </w:t>
      </w:r>
      <w:r w:rsidRPr="00720B0E">
        <w:t xml:space="preserve">However, </w:t>
      </w:r>
      <w:r w:rsidR="00D81AB0" w:rsidRPr="00720B0E">
        <w:t xml:space="preserve">certain </w:t>
      </w:r>
      <w:r w:rsidRPr="00720B0E">
        <w:t>protocols may require the use of less commonly used routes</w:t>
      </w:r>
      <w:r w:rsidR="00D81AB0" w:rsidRPr="00720B0E">
        <w:t xml:space="preserve">, including </w:t>
      </w:r>
      <w:r w:rsidRPr="00720B0E">
        <w:t xml:space="preserve">intradermal, intranasal, </w:t>
      </w:r>
      <w:r w:rsidR="002C09D4" w:rsidRPr="00720B0E">
        <w:t xml:space="preserve">and </w:t>
      </w:r>
      <w:r w:rsidRPr="00720B0E">
        <w:t>intracranial</w:t>
      </w:r>
      <w:r w:rsidR="002C09D4" w:rsidRPr="00720B0E">
        <w:t xml:space="preserve"> injections</w:t>
      </w:r>
      <w:r w:rsidRPr="00720B0E">
        <w:t xml:space="preserve">. </w:t>
      </w:r>
      <w:r w:rsidR="00DE72CC" w:rsidRPr="00720B0E">
        <w:t xml:space="preserve">Specialized training is essential for these procedures to be performed successfully. </w:t>
      </w:r>
      <w:r w:rsidR="006C5330" w:rsidRPr="00720B0E">
        <w:t xml:space="preserve">Justification for these routes may need to be provided to gain Institutional Animal Care and Use Committee (IACUC) approval. </w:t>
      </w:r>
    </w:p>
    <w:p w14:paraId="2DC08836" w14:textId="77777777" w:rsidR="00610600" w:rsidRPr="00720B0E" w:rsidRDefault="00610600" w:rsidP="00610600">
      <w:pPr>
        <w:spacing w:after="0" w:line="240" w:lineRule="auto"/>
        <w:contextualSpacing/>
      </w:pPr>
    </w:p>
    <w:p w14:paraId="0311D7F3" w14:textId="417CB346" w:rsidR="00720B0E" w:rsidRPr="00720B0E" w:rsidRDefault="00720B0E" w:rsidP="00720B0E">
      <w:pPr>
        <w:spacing w:after="0" w:line="240" w:lineRule="auto"/>
        <w:contextualSpacing/>
        <w:rPr>
          <w:b/>
        </w:rPr>
      </w:pPr>
      <w:r w:rsidRPr="00720B0E">
        <w:rPr>
          <w:b/>
        </w:rPr>
        <w:t>Principles</w:t>
      </w:r>
    </w:p>
    <w:p w14:paraId="743A2F54" w14:textId="77777777" w:rsidR="00720B0E" w:rsidRPr="00720B0E" w:rsidRDefault="00720B0E" w:rsidP="00610600">
      <w:pPr>
        <w:spacing w:after="0" w:line="240" w:lineRule="auto"/>
        <w:contextualSpacing/>
      </w:pPr>
    </w:p>
    <w:p w14:paraId="394844CF" w14:textId="77777777" w:rsidR="002B628A" w:rsidRPr="00720B0E" w:rsidRDefault="003B4DA7" w:rsidP="00610600">
      <w:pPr>
        <w:spacing w:after="0" w:line="240" w:lineRule="auto"/>
        <w:contextualSpacing/>
      </w:pPr>
      <w:r w:rsidRPr="00720B0E">
        <w:rPr>
          <w:bCs/>
        </w:rPr>
        <w:t>Intradermal</w:t>
      </w:r>
      <w:r w:rsidR="00D85D1B" w:rsidRPr="00720B0E">
        <w:rPr>
          <w:b/>
          <w:bCs/>
        </w:rPr>
        <w:t xml:space="preserve"> </w:t>
      </w:r>
      <w:r w:rsidRPr="00720B0E">
        <w:t>injections are delivered into the</w:t>
      </w:r>
      <w:r w:rsidR="007D6A65" w:rsidRPr="00720B0E">
        <w:t xml:space="preserve"> outer layers of the </w:t>
      </w:r>
      <w:r w:rsidRPr="00720B0E">
        <w:rPr>
          <w:bCs/>
        </w:rPr>
        <w:t>dermis</w:t>
      </w:r>
      <w:r w:rsidRPr="00720B0E">
        <w:t xml:space="preserve">, </w:t>
      </w:r>
      <w:r w:rsidR="00C2466F" w:rsidRPr="00720B0E">
        <w:t>underneath the upper skin layer</w:t>
      </w:r>
      <w:r w:rsidR="00012C89" w:rsidRPr="00720B0E">
        <w:t xml:space="preserve"> (</w:t>
      </w:r>
      <w:r w:rsidR="00146828" w:rsidRPr="00720B0E">
        <w:t>the epidermis</w:t>
      </w:r>
      <w:r w:rsidR="00012C89" w:rsidRPr="00720B0E">
        <w:t>)</w:t>
      </w:r>
      <w:r w:rsidRPr="00720B0E">
        <w:t>.</w:t>
      </w:r>
      <w:r w:rsidR="00C2466F" w:rsidRPr="00720B0E">
        <w:t xml:space="preserve"> </w:t>
      </w:r>
      <w:r w:rsidR="006757ED" w:rsidRPr="00720B0E">
        <w:t xml:space="preserve">This injection route is </w:t>
      </w:r>
      <w:r w:rsidR="00CB34F0" w:rsidRPr="00720B0E">
        <w:t>usually reserved</w:t>
      </w:r>
      <w:r w:rsidR="006757ED" w:rsidRPr="00720B0E">
        <w:t xml:space="preserve"> for </w:t>
      </w:r>
      <w:r w:rsidR="00CB34F0" w:rsidRPr="00720B0E">
        <w:t>th</w:t>
      </w:r>
      <w:r w:rsidR="007D6A65" w:rsidRPr="00720B0E">
        <w:t>e assessment of inflamma</w:t>
      </w:r>
      <w:r w:rsidR="00012C89" w:rsidRPr="00720B0E">
        <w:t>tion</w:t>
      </w:r>
      <w:r w:rsidR="007D6A65" w:rsidRPr="00720B0E">
        <w:t xml:space="preserve">, cutaneous blood flow diagnostics, </w:t>
      </w:r>
      <w:r w:rsidR="00012C89" w:rsidRPr="00720B0E">
        <w:t xml:space="preserve">or </w:t>
      </w:r>
      <w:r w:rsidR="00CB34F0" w:rsidRPr="00720B0E">
        <w:t>alle</w:t>
      </w:r>
      <w:r w:rsidR="00D85D1B" w:rsidRPr="00720B0E">
        <w:t>rgenic reactions to an antigen.</w:t>
      </w:r>
    </w:p>
    <w:p w14:paraId="4E3654BC" w14:textId="77777777" w:rsidR="00610600" w:rsidRPr="00720B0E" w:rsidRDefault="00610600" w:rsidP="00610600">
      <w:pPr>
        <w:spacing w:after="0" w:line="240" w:lineRule="auto"/>
        <w:contextualSpacing/>
      </w:pPr>
    </w:p>
    <w:p w14:paraId="0E06ACED" w14:textId="28E96083" w:rsidR="005915E5" w:rsidRPr="00720B0E" w:rsidRDefault="002646A5" w:rsidP="00610600">
      <w:pPr>
        <w:spacing w:after="0" w:line="240" w:lineRule="auto"/>
        <w:contextualSpacing/>
      </w:pPr>
      <w:r w:rsidRPr="00720B0E">
        <w:t>Although often used for local delivery of vaccinations or decongestant spray, intranasal administration can al</w:t>
      </w:r>
      <w:r w:rsidR="005915E5" w:rsidRPr="00720B0E">
        <w:t xml:space="preserve">so be used for systemic and central nervous system (CNS) delivery. </w:t>
      </w:r>
      <w:r w:rsidRPr="00720B0E">
        <w:t xml:space="preserve">The mucosa that lines the nasal cavity has a rich supply of blood vessels </w:t>
      </w:r>
      <w:r w:rsidR="005915E5" w:rsidRPr="00720B0E">
        <w:t xml:space="preserve">and nerves </w:t>
      </w:r>
      <w:r w:rsidRPr="00720B0E">
        <w:t xml:space="preserve">that allow for rapid </w:t>
      </w:r>
      <w:r w:rsidR="005915E5" w:rsidRPr="00720B0E">
        <w:t xml:space="preserve">systemic </w:t>
      </w:r>
      <w:r w:rsidRPr="00720B0E">
        <w:t>absorption</w:t>
      </w:r>
      <w:r w:rsidR="005915E5" w:rsidRPr="00720B0E">
        <w:t xml:space="preserve"> and direct targeting to the CNS. </w:t>
      </w:r>
      <w:r w:rsidR="00192086" w:rsidRPr="00720B0E">
        <w:t>S</w:t>
      </w:r>
      <w:r w:rsidR="005915E5" w:rsidRPr="00720B0E">
        <w:t xml:space="preserve">ubstances comprised of small lipophilic molecules have a far greater absorption </w:t>
      </w:r>
      <w:proofErr w:type="gramStart"/>
      <w:r w:rsidR="005915E5" w:rsidRPr="00720B0E">
        <w:t>rate</w:t>
      </w:r>
      <w:proofErr w:type="gramEnd"/>
      <w:r w:rsidR="005915E5" w:rsidRPr="00720B0E">
        <w:t xml:space="preserve"> than those containing larger molecules.</w:t>
      </w:r>
      <w:r w:rsidR="00AC35A9" w:rsidRPr="00720B0E">
        <w:rPr>
          <w:vertAlign w:val="superscript"/>
        </w:rPr>
        <w:t>2</w:t>
      </w:r>
    </w:p>
    <w:p w14:paraId="155D9754" w14:textId="77777777" w:rsidR="00610600" w:rsidRPr="00720B0E" w:rsidRDefault="00610600" w:rsidP="00610600">
      <w:pPr>
        <w:spacing w:after="0" w:line="240" w:lineRule="auto"/>
        <w:contextualSpacing/>
      </w:pPr>
    </w:p>
    <w:p w14:paraId="3124C81B" w14:textId="1C2858F5" w:rsidR="00105EC9" w:rsidRPr="00720B0E" w:rsidRDefault="002646A5" w:rsidP="00610600">
      <w:pPr>
        <w:spacing w:after="0" w:line="240" w:lineRule="auto"/>
        <w:contextualSpacing/>
      </w:pPr>
      <w:r w:rsidRPr="00720B0E">
        <w:t>Although anesthesia is not required for this procedure, it can facilitate proper placement of the compound at the nares, ensuring accurate dosing.</w:t>
      </w:r>
      <w:r w:rsidR="00726E60" w:rsidRPr="00720B0E">
        <w:t xml:space="preserve"> It has been demonstrated that anesthetized animals have fivefold greater delivery of </w:t>
      </w:r>
      <w:r w:rsidR="00EE7480" w:rsidRPr="00720B0E">
        <w:t xml:space="preserve">a </w:t>
      </w:r>
      <w:r w:rsidR="00726E60" w:rsidRPr="00720B0E">
        <w:t xml:space="preserve">drug to the brain </w:t>
      </w:r>
      <w:r w:rsidR="009D5A4D" w:rsidRPr="00720B0E">
        <w:t>compared to</w:t>
      </w:r>
      <w:r w:rsidR="00726E60" w:rsidRPr="00720B0E">
        <w:t xml:space="preserve"> </w:t>
      </w:r>
      <w:r w:rsidR="00012C89" w:rsidRPr="00720B0E">
        <w:t xml:space="preserve">a </w:t>
      </w:r>
      <w:r w:rsidR="00726E60" w:rsidRPr="00720B0E">
        <w:t>conscious animal.</w:t>
      </w:r>
      <w:r w:rsidR="00AC35A9" w:rsidRPr="00720B0E">
        <w:rPr>
          <w:vertAlign w:val="superscript"/>
        </w:rPr>
        <w:t>2</w:t>
      </w:r>
      <w:r w:rsidR="00D85D1B" w:rsidRPr="00720B0E">
        <w:t xml:space="preserve"> </w:t>
      </w:r>
      <w:proofErr w:type="spellStart"/>
      <w:r w:rsidR="00105EC9" w:rsidRPr="00720B0E">
        <w:t>Unanesthetized</w:t>
      </w:r>
      <w:proofErr w:type="spellEnd"/>
      <w:r w:rsidR="00105EC9" w:rsidRPr="00720B0E">
        <w:t xml:space="preserve"> rats are very resistant to intranasal </w:t>
      </w:r>
      <w:r w:rsidR="009055CC" w:rsidRPr="00720B0E">
        <w:t>administration</w:t>
      </w:r>
      <w:r w:rsidR="00012C89" w:rsidRPr="00720B0E">
        <w:t>. H</w:t>
      </w:r>
      <w:r w:rsidR="00105EC9" w:rsidRPr="00720B0E">
        <w:t>owever, there is a study that demonstrated effective delivery te</w:t>
      </w:r>
      <w:r w:rsidR="009055CC" w:rsidRPr="00720B0E">
        <w:t>chniques for intranasal administration of freely moving rats.</w:t>
      </w:r>
      <w:r w:rsidR="00AC35A9" w:rsidRPr="00720B0E">
        <w:rPr>
          <w:vertAlign w:val="superscript"/>
        </w:rPr>
        <w:t>3</w:t>
      </w:r>
      <w:r w:rsidR="00AC35A9" w:rsidRPr="00720B0E">
        <w:t xml:space="preserve"> </w:t>
      </w:r>
      <w:r w:rsidR="00012C89" w:rsidRPr="00720B0E">
        <w:t>Additionally</w:t>
      </w:r>
      <w:r w:rsidRPr="00720B0E">
        <w:t xml:space="preserve">, </w:t>
      </w:r>
      <w:r w:rsidR="00726E60" w:rsidRPr="00720B0E">
        <w:t>alert</w:t>
      </w:r>
      <w:r w:rsidRPr="00720B0E">
        <w:t xml:space="preserve"> animals may try to bite at the pipette tip</w:t>
      </w:r>
      <w:r w:rsidR="005E4780" w:rsidRPr="00720B0E">
        <w:t>,</w:t>
      </w:r>
      <w:r w:rsidRPr="00720B0E">
        <w:t xml:space="preserve"> or needle</w:t>
      </w:r>
      <w:r w:rsidR="005E4780" w:rsidRPr="00720B0E">
        <w:t>,</w:t>
      </w:r>
      <w:r w:rsidRPr="00720B0E">
        <w:t xml:space="preserve"> making delivery of the substance</w:t>
      </w:r>
      <w:r w:rsidR="005915E5" w:rsidRPr="00720B0E">
        <w:t xml:space="preserve"> difficult. </w:t>
      </w:r>
      <w:r w:rsidR="00105EC9" w:rsidRPr="00720B0E">
        <w:t xml:space="preserve"> </w:t>
      </w:r>
    </w:p>
    <w:p w14:paraId="42831BA0" w14:textId="77777777" w:rsidR="00610600" w:rsidRPr="00720B0E" w:rsidRDefault="00610600" w:rsidP="00610600">
      <w:pPr>
        <w:spacing w:after="0" w:line="240" w:lineRule="auto"/>
        <w:contextualSpacing/>
      </w:pPr>
    </w:p>
    <w:p w14:paraId="6B1D7CA3" w14:textId="4F72C1EE" w:rsidR="00B66021" w:rsidRPr="00720B0E" w:rsidRDefault="002F6BBE" w:rsidP="00610600">
      <w:pPr>
        <w:spacing w:after="0" w:line="240" w:lineRule="auto"/>
        <w:contextualSpacing/>
      </w:pPr>
      <w:r w:rsidRPr="00720B0E">
        <w:t xml:space="preserve">Advantages to intranasal administration are </w:t>
      </w:r>
      <w:r w:rsidR="00726E60" w:rsidRPr="00720B0E">
        <w:t>that th</w:t>
      </w:r>
      <w:r w:rsidR="00A13C93" w:rsidRPr="00720B0E">
        <w:t>is</w:t>
      </w:r>
      <w:r w:rsidR="00726E60" w:rsidRPr="00720B0E">
        <w:t xml:space="preserve"> technique </w:t>
      </w:r>
      <w:r w:rsidR="003130C9" w:rsidRPr="00720B0E">
        <w:t xml:space="preserve">requires minimal training and skill, </w:t>
      </w:r>
      <w:r w:rsidRPr="00720B0E">
        <w:t>and it is noninvasive to the animal. However, due to the possibility of aerosolization, the use of a biosafety cabinet and eye protection is advised, especially when working with a conscious animal</w:t>
      </w:r>
      <w:r w:rsidR="00064476" w:rsidRPr="00720B0E">
        <w:t xml:space="preserve">. Furthermore, </w:t>
      </w:r>
      <w:r w:rsidRPr="00720B0E">
        <w:t>to avoid drowning the animals, the smallest dose possible should be used. If at any time during this procedure cyanosis, mouth breathing</w:t>
      </w:r>
      <w:r w:rsidR="00012C89" w:rsidRPr="00720B0E">
        <w:t>,</w:t>
      </w:r>
      <w:r w:rsidRPr="00720B0E">
        <w:t xml:space="preserve"> or other signs of distress </w:t>
      </w:r>
      <w:r w:rsidR="00064476" w:rsidRPr="00720B0E">
        <w:t>are</w:t>
      </w:r>
      <w:r w:rsidRPr="00720B0E">
        <w:t xml:space="preserve"> seen in the animal, the procedure should be aborted immediately. </w:t>
      </w:r>
    </w:p>
    <w:p w14:paraId="60BA3B37" w14:textId="77777777" w:rsidR="00610600" w:rsidRPr="00720B0E" w:rsidRDefault="00610600" w:rsidP="00610600">
      <w:pPr>
        <w:spacing w:after="0" w:line="240" w:lineRule="auto"/>
        <w:contextualSpacing/>
      </w:pPr>
    </w:p>
    <w:p w14:paraId="65436855" w14:textId="1AC5EE3C" w:rsidR="000750E5" w:rsidRPr="00720B0E" w:rsidRDefault="000750E5" w:rsidP="00610600">
      <w:pPr>
        <w:spacing w:after="0" w:line="240" w:lineRule="auto"/>
        <w:contextualSpacing/>
        <w:rPr>
          <w:vertAlign w:val="superscript"/>
        </w:rPr>
      </w:pPr>
      <w:r w:rsidRPr="00720B0E">
        <w:t xml:space="preserve">Intracranial injections in adult mice and rats employ the use of stereotaxic equipment to </w:t>
      </w:r>
      <w:r w:rsidR="00A13C93" w:rsidRPr="00720B0E">
        <w:t>en</w:t>
      </w:r>
      <w:r w:rsidRPr="00720B0E">
        <w:t>sure the proper positioning and depth of the injection. However, in mice 3 to 28 days of age</w:t>
      </w:r>
      <w:r w:rsidR="00F83F3B" w:rsidRPr="00720B0E">
        <w:t>,</w:t>
      </w:r>
      <w:r w:rsidRPr="00720B0E">
        <w:t xml:space="preserve"> and rats up to 14 days of age, the skull is thin enough to inject directly through it</w:t>
      </w:r>
      <w:r w:rsidR="00F83F3B" w:rsidRPr="00720B0E">
        <w:t xml:space="preserve">; it is </w:t>
      </w:r>
      <w:r w:rsidRPr="00720B0E">
        <w:t>too fragile to support the stereotaxic device.</w:t>
      </w:r>
      <w:r w:rsidR="00DF5BF0" w:rsidRPr="00720B0E">
        <w:t xml:space="preserve"> </w:t>
      </w:r>
      <w:r w:rsidRPr="00720B0E">
        <w:t xml:space="preserve">The mouse </w:t>
      </w:r>
      <w:r w:rsidR="00FB24A1" w:rsidRPr="00720B0E">
        <w:t>or</w:t>
      </w:r>
      <w:r w:rsidRPr="00720B0E">
        <w:t xml:space="preserve"> rat pups should be left with the mother until the procedure</w:t>
      </w:r>
      <w:r w:rsidR="00FB24A1" w:rsidRPr="00720B0E">
        <w:t xml:space="preserve">, </w:t>
      </w:r>
      <w:r w:rsidRPr="00720B0E">
        <w:t xml:space="preserve">and </w:t>
      </w:r>
      <w:r w:rsidR="00FB24A1" w:rsidRPr="00720B0E">
        <w:t xml:space="preserve">they should be </w:t>
      </w:r>
      <w:r w:rsidRPr="00720B0E">
        <w:t xml:space="preserve">returned to her as soon as possible once the procedure is completed. </w:t>
      </w:r>
      <w:proofErr w:type="spellStart"/>
      <w:r w:rsidRPr="00720B0E">
        <w:t>Postinjection</w:t>
      </w:r>
      <w:proofErr w:type="spellEnd"/>
      <w:r w:rsidRPr="00720B0E">
        <w:t xml:space="preserve"> care includes continuous monitoring on a heat source until normal movement and behaviors, including nursing, are observed. The primary reason to use this technique is to provide pharmacologic agents to the central nervous system that require the blood-brain barrier to be crossed, or to avoid the effects involved in the systemic route.</w:t>
      </w:r>
      <w:r w:rsidRPr="00720B0E">
        <w:rPr>
          <w:vertAlign w:val="superscript"/>
        </w:rPr>
        <w:t>1</w:t>
      </w:r>
    </w:p>
    <w:p w14:paraId="21F94E36" w14:textId="77777777" w:rsidR="00720B0E" w:rsidRPr="00720B0E" w:rsidRDefault="00720B0E" w:rsidP="00610600">
      <w:pPr>
        <w:spacing w:after="0" w:line="240" w:lineRule="auto"/>
        <w:contextualSpacing/>
        <w:rPr>
          <w:b/>
        </w:rPr>
      </w:pPr>
    </w:p>
    <w:p w14:paraId="1CDA2E5A" w14:textId="637E8AF0" w:rsidR="00702F64" w:rsidRPr="00720B0E" w:rsidRDefault="00012C89" w:rsidP="00610600">
      <w:pPr>
        <w:spacing w:after="0" w:line="240" w:lineRule="auto"/>
        <w:contextualSpacing/>
        <w:rPr>
          <w:b/>
        </w:rPr>
      </w:pPr>
      <w:r w:rsidRPr="00720B0E">
        <w:rPr>
          <w:b/>
        </w:rPr>
        <w:t>Procedure</w:t>
      </w:r>
      <w:r w:rsidRPr="00720B0E">
        <w:rPr>
          <w:b/>
        </w:rPr>
        <w:br/>
      </w:r>
    </w:p>
    <w:p w14:paraId="66BD454E" w14:textId="77777777" w:rsidR="00BD45EC" w:rsidRPr="00720B0E" w:rsidRDefault="006B68E5" w:rsidP="00610600">
      <w:pPr>
        <w:pStyle w:val="ListParagraph"/>
        <w:numPr>
          <w:ilvl w:val="0"/>
          <w:numId w:val="16"/>
        </w:numPr>
        <w:spacing w:after="0" w:line="240" w:lineRule="auto"/>
      </w:pPr>
      <w:r w:rsidRPr="00720B0E">
        <w:t xml:space="preserve">Intradermal </w:t>
      </w:r>
      <w:r w:rsidR="002646A5" w:rsidRPr="00720B0E">
        <w:t>administration</w:t>
      </w:r>
    </w:p>
    <w:p w14:paraId="48BCC87E" w14:textId="77777777" w:rsidR="00006D84" w:rsidRPr="00720B0E" w:rsidRDefault="00006D84" w:rsidP="00610600">
      <w:pPr>
        <w:pStyle w:val="ListParagraph"/>
        <w:spacing w:after="0" w:line="240" w:lineRule="auto"/>
        <w:ind w:left="360"/>
        <w:rPr>
          <w:b/>
        </w:rPr>
      </w:pPr>
    </w:p>
    <w:p w14:paraId="4A7F9917" w14:textId="3620F92E" w:rsidR="00BD45EC" w:rsidRPr="00720B0E" w:rsidRDefault="00BD45EC" w:rsidP="00610600">
      <w:pPr>
        <w:pStyle w:val="ListParagraph"/>
        <w:numPr>
          <w:ilvl w:val="1"/>
          <w:numId w:val="16"/>
        </w:numPr>
        <w:spacing w:after="0" w:line="240" w:lineRule="auto"/>
        <w:ind w:left="1080"/>
      </w:pPr>
      <w:r w:rsidRPr="00720B0E">
        <w:t xml:space="preserve">Most intradermal injections are aqueous-based compounds. The solutions must be physiologically buffered to have a neutral pH, in order to avoid tissue necrosis at the injection site. </w:t>
      </w:r>
    </w:p>
    <w:p w14:paraId="273FD525" w14:textId="77777777" w:rsidR="00006D84" w:rsidRPr="00720B0E" w:rsidRDefault="00006D84" w:rsidP="00610600">
      <w:pPr>
        <w:pStyle w:val="ListParagraph"/>
        <w:spacing w:after="0" w:line="240" w:lineRule="auto"/>
        <w:ind w:left="1080" w:hanging="360"/>
      </w:pPr>
    </w:p>
    <w:p w14:paraId="56E0A769" w14:textId="21C3F84E" w:rsidR="00006D84" w:rsidRPr="00720B0E" w:rsidRDefault="00BD45EC" w:rsidP="00610600">
      <w:pPr>
        <w:pStyle w:val="ListParagraph"/>
        <w:numPr>
          <w:ilvl w:val="1"/>
          <w:numId w:val="16"/>
        </w:numPr>
        <w:spacing w:after="0" w:line="240" w:lineRule="auto"/>
        <w:ind w:left="1080"/>
      </w:pPr>
      <w:r w:rsidRPr="00720B0E">
        <w:t>The needle size range is 25</w:t>
      </w:r>
      <w:r w:rsidR="00491FDF" w:rsidRPr="00720B0E">
        <w:rPr>
          <w:rFonts w:ascii="Calibri" w:hAnsi="Calibri"/>
        </w:rPr>
        <w:t>–</w:t>
      </w:r>
      <w:r w:rsidRPr="00720B0E">
        <w:t>30</w:t>
      </w:r>
      <w:r w:rsidR="00491FDF" w:rsidRPr="00720B0E">
        <w:t xml:space="preserve"> </w:t>
      </w:r>
      <w:r w:rsidRPr="00720B0E">
        <w:t xml:space="preserve">gauge, </w:t>
      </w:r>
      <w:r w:rsidR="00152B42" w:rsidRPr="00720B0E">
        <w:t xml:space="preserve">the </w:t>
      </w:r>
      <w:r w:rsidRPr="00720B0E">
        <w:t>smallest possible.</w:t>
      </w:r>
    </w:p>
    <w:p w14:paraId="72B85CAA" w14:textId="77777777" w:rsidR="00006D84" w:rsidRPr="00720B0E" w:rsidRDefault="00006D84" w:rsidP="00610600">
      <w:pPr>
        <w:spacing w:after="0" w:line="240" w:lineRule="auto"/>
        <w:ind w:left="1080" w:hanging="360"/>
        <w:contextualSpacing/>
      </w:pPr>
    </w:p>
    <w:p w14:paraId="7C535174" w14:textId="76198ED7" w:rsidR="00A91753" w:rsidRPr="00720B0E" w:rsidRDefault="00BD45EC" w:rsidP="00610600">
      <w:pPr>
        <w:pStyle w:val="ListParagraph"/>
        <w:numPr>
          <w:ilvl w:val="1"/>
          <w:numId w:val="16"/>
        </w:numPr>
        <w:spacing w:after="0" w:line="240" w:lineRule="auto"/>
        <w:ind w:left="1080"/>
      </w:pPr>
      <w:r w:rsidRPr="00720B0E">
        <w:t>The dose range per injection site is 50</w:t>
      </w:r>
      <w:r w:rsidR="00152B42" w:rsidRPr="00720B0E">
        <w:rPr>
          <w:rFonts w:ascii="Calibri" w:hAnsi="Calibri"/>
        </w:rPr>
        <w:t>–</w:t>
      </w:r>
      <w:r w:rsidRPr="00720B0E">
        <w:t>100 µL. Injecting excessive volumes can result in necrosis at the injection site or leakage of the compound out of the site due to pressure.</w:t>
      </w:r>
    </w:p>
    <w:p w14:paraId="7930FC1F" w14:textId="2368CE25" w:rsidR="00D85D1B" w:rsidRPr="00720B0E" w:rsidRDefault="00BD45EC" w:rsidP="00610600">
      <w:pPr>
        <w:spacing w:after="0" w:line="240" w:lineRule="auto"/>
        <w:ind w:left="1080" w:hanging="360"/>
        <w:contextualSpacing/>
      </w:pPr>
      <w:r w:rsidRPr="00720B0E">
        <w:t xml:space="preserve">  </w:t>
      </w:r>
    </w:p>
    <w:p w14:paraId="674531C3" w14:textId="4D89CB63" w:rsidR="006B68E5" w:rsidRPr="00720B0E" w:rsidRDefault="00D85D1B" w:rsidP="00610600">
      <w:pPr>
        <w:pStyle w:val="ListParagraph"/>
        <w:numPr>
          <w:ilvl w:val="1"/>
          <w:numId w:val="16"/>
        </w:numPr>
        <w:spacing w:after="0" w:line="240" w:lineRule="auto"/>
        <w:ind w:left="1080"/>
        <w:rPr>
          <w:vertAlign w:val="superscript"/>
        </w:rPr>
      </w:pPr>
      <w:r w:rsidRPr="00720B0E">
        <w:t>For accurate placement of the needle into the intradermal space, it is necessary to anesthetize both mice and rats. Inhalation anesthesia allows for a rapid induction and recovery</w:t>
      </w:r>
      <w:r w:rsidR="00152B42" w:rsidRPr="00720B0E">
        <w:t xml:space="preserve">; </w:t>
      </w:r>
      <w:r w:rsidRPr="00720B0E">
        <w:t>however, injectable anesthesia has the advantage of providing ample time for preparation of the area and performing the injection.</w:t>
      </w:r>
      <w:r w:rsidRPr="00720B0E">
        <w:rPr>
          <w:vertAlign w:val="superscript"/>
        </w:rPr>
        <w:t>1</w:t>
      </w:r>
    </w:p>
    <w:p w14:paraId="48142DB8" w14:textId="77777777" w:rsidR="00A91753" w:rsidRPr="00720B0E" w:rsidRDefault="00A91753" w:rsidP="00610600">
      <w:pPr>
        <w:spacing w:after="0" w:line="240" w:lineRule="auto"/>
        <w:ind w:left="1080" w:hanging="360"/>
        <w:contextualSpacing/>
        <w:rPr>
          <w:vertAlign w:val="superscript"/>
        </w:rPr>
      </w:pPr>
    </w:p>
    <w:p w14:paraId="6492F375" w14:textId="77777777" w:rsidR="00D85D1B" w:rsidRPr="00720B0E" w:rsidRDefault="000F6681" w:rsidP="00610600">
      <w:pPr>
        <w:pStyle w:val="ListParagraph"/>
        <w:numPr>
          <w:ilvl w:val="1"/>
          <w:numId w:val="16"/>
        </w:numPr>
        <w:spacing w:after="0" w:line="240" w:lineRule="auto"/>
        <w:ind w:left="1080"/>
      </w:pPr>
      <w:r w:rsidRPr="00720B0E">
        <w:t xml:space="preserve">Remove the hair at </w:t>
      </w:r>
      <w:r w:rsidR="006B68E5" w:rsidRPr="00720B0E">
        <w:t>the injection site through the use of a depilatory cream or by shaving the area.</w:t>
      </w:r>
    </w:p>
    <w:p w14:paraId="6C12D8F0" w14:textId="77777777" w:rsidR="00A91753" w:rsidRPr="00720B0E" w:rsidRDefault="00A91753" w:rsidP="00610600">
      <w:pPr>
        <w:spacing w:after="0" w:line="240" w:lineRule="auto"/>
        <w:ind w:left="1080" w:hanging="360"/>
        <w:contextualSpacing/>
      </w:pPr>
    </w:p>
    <w:p w14:paraId="0DA78DF5" w14:textId="3A4C636A" w:rsidR="00A91753" w:rsidRPr="00720B0E" w:rsidRDefault="00702F64" w:rsidP="00610600">
      <w:pPr>
        <w:pStyle w:val="ListParagraph"/>
        <w:numPr>
          <w:ilvl w:val="1"/>
          <w:numId w:val="16"/>
        </w:numPr>
        <w:spacing w:after="0" w:line="240" w:lineRule="auto"/>
        <w:ind w:left="1080"/>
      </w:pPr>
      <w:r w:rsidRPr="00720B0E">
        <w:t>Thoroughly remove any residual depilatory cream or hair debris.</w:t>
      </w:r>
    </w:p>
    <w:p w14:paraId="12AAA02C" w14:textId="77777777" w:rsidR="00A91753" w:rsidRPr="00720B0E" w:rsidRDefault="00A91753" w:rsidP="00610600">
      <w:pPr>
        <w:spacing w:after="0" w:line="240" w:lineRule="auto"/>
        <w:ind w:left="1080" w:hanging="360"/>
        <w:contextualSpacing/>
      </w:pPr>
    </w:p>
    <w:p w14:paraId="3DB8D5A0" w14:textId="1A665AC0" w:rsidR="006B68E5" w:rsidRPr="00720B0E" w:rsidRDefault="00702F64" w:rsidP="00610600">
      <w:pPr>
        <w:pStyle w:val="ListParagraph"/>
        <w:numPr>
          <w:ilvl w:val="1"/>
          <w:numId w:val="16"/>
        </w:numPr>
        <w:spacing w:after="0" w:line="240" w:lineRule="auto"/>
        <w:ind w:left="1080"/>
      </w:pPr>
      <w:r w:rsidRPr="00720B0E">
        <w:t>Apply a topical antiseptic</w:t>
      </w:r>
      <w:r w:rsidR="00EF292D" w:rsidRPr="00720B0E">
        <w:t>,</w:t>
      </w:r>
      <w:r w:rsidRPr="00720B0E">
        <w:t xml:space="preserve"> such as an iodine solution, chlorhexidine solution, or alcohol. </w:t>
      </w:r>
    </w:p>
    <w:p w14:paraId="1870001A" w14:textId="77777777" w:rsidR="00A91753" w:rsidRPr="00720B0E" w:rsidRDefault="00A91753" w:rsidP="00610600">
      <w:pPr>
        <w:spacing w:after="0" w:line="240" w:lineRule="auto"/>
        <w:ind w:left="1080" w:hanging="360"/>
        <w:contextualSpacing/>
      </w:pPr>
    </w:p>
    <w:p w14:paraId="76E83F9A" w14:textId="77777777" w:rsidR="006B68E5" w:rsidRPr="00720B0E" w:rsidRDefault="00702F64" w:rsidP="00610600">
      <w:pPr>
        <w:pStyle w:val="ListParagraph"/>
        <w:numPr>
          <w:ilvl w:val="1"/>
          <w:numId w:val="16"/>
        </w:numPr>
        <w:spacing w:after="0" w:line="240" w:lineRule="auto"/>
        <w:ind w:left="1080"/>
      </w:pPr>
      <w:r w:rsidRPr="00720B0E">
        <w:t>Administration</w:t>
      </w:r>
      <w:r w:rsidR="006B68E5" w:rsidRPr="00720B0E">
        <w:t xml:space="preserve"> procedures</w:t>
      </w:r>
    </w:p>
    <w:p w14:paraId="16B4851D" w14:textId="77777777" w:rsidR="00A91753" w:rsidRPr="00720B0E" w:rsidRDefault="00A91753" w:rsidP="00610600">
      <w:pPr>
        <w:spacing w:after="0" w:line="240" w:lineRule="auto"/>
        <w:contextualSpacing/>
      </w:pPr>
    </w:p>
    <w:p w14:paraId="46DCE70A" w14:textId="77777777" w:rsidR="006B68E5" w:rsidRPr="00720B0E" w:rsidRDefault="000F6681" w:rsidP="00610600">
      <w:pPr>
        <w:pStyle w:val="ListParagraph"/>
        <w:numPr>
          <w:ilvl w:val="2"/>
          <w:numId w:val="16"/>
        </w:numPr>
        <w:tabs>
          <w:tab w:val="left" w:pos="1440"/>
        </w:tabs>
        <w:spacing w:after="0" w:line="240" w:lineRule="auto"/>
        <w:ind w:left="1800"/>
      </w:pPr>
      <w:r w:rsidRPr="00720B0E">
        <w:t>Stretch the skin</w:t>
      </w:r>
      <w:r w:rsidR="00702F64" w:rsidRPr="00720B0E">
        <w:t xml:space="preserve"> taut between the thumb and index finger.</w:t>
      </w:r>
      <w:r w:rsidR="006B68E5" w:rsidRPr="00720B0E">
        <w:t xml:space="preserve"> </w:t>
      </w:r>
      <w:r w:rsidR="00702F64" w:rsidRPr="00720B0E">
        <w:t>This provide</w:t>
      </w:r>
      <w:r w:rsidRPr="00720B0E">
        <w:t>s</w:t>
      </w:r>
      <w:r w:rsidR="00702F64" w:rsidRPr="00720B0E">
        <w:t xml:space="preserve"> stability to the skin when positioning the needle.</w:t>
      </w:r>
    </w:p>
    <w:p w14:paraId="2A56A104" w14:textId="77777777" w:rsidR="00A91753" w:rsidRPr="00720B0E" w:rsidRDefault="00A91753" w:rsidP="00610600">
      <w:pPr>
        <w:tabs>
          <w:tab w:val="left" w:pos="1800"/>
        </w:tabs>
        <w:spacing w:after="0" w:line="240" w:lineRule="auto"/>
        <w:ind w:left="1800" w:hanging="720"/>
        <w:contextualSpacing/>
      </w:pPr>
    </w:p>
    <w:p w14:paraId="23983A49" w14:textId="1F8EBA2B" w:rsidR="006B68E5" w:rsidRPr="00720B0E" w:rsidRDefault="00702F64" w:rsidP="00610600">
      <w:pPr>
        <w:pStyle w:val="ListParagraph"/>
        <w:numPr>
          <w:ilvl w:val="2"/>
          <w:numId w:val="16"/>
        </w:numPr>
        <w:tabs>
          <w:tab w:val="left" w:pos="1800"/>
        </w:tabs>
        <w:spacing w:after="0" w:line="240" w:lineRule="auto"/>
        <w:ind w:left="1800"/>
      </w:pPr>
      <w:r w:rsidRPr="00720B0E">
        <w:t>Place the needle bevel up on the skin.</w:t>
      </w:r>
    </w:p>
    <w:p w14:paraId="528229FA" w14:textId="77777777" w:rsidR="00A91753" w:rsidRPr="00720B0E" w:rsidRDefault="00A91753" w:rsidP="00610600">
      <w:pPr>
        <w:tabs>
          <w:tab w:val="left" w:pos="1800"/>
        </w:tabs>
        <w:spacing w:after="0" w:line="240" w:lineRule="auto"/>
        <w:ind w:left="1800" w:hanging="720"/>
        <w:contextualSpacing/>
      </w:pPr>
    </w:p>
    <w:p w14:paraId="2200B938" w14:textId="4188C33C" w:rsidR="006B68E5" w:rsidRPr="00720B0E" w:rsidRDefault="00702F64" w:rsidP="00610600">
      <w:pPr>
        <w:pStyle w:val="ListParagraph"/>
        <w:numPr>
          <w:ilvl w:val="2"/>
          <w:numId w:val="16"/>
        </w:numPr>
        <w:tabs>
          <w:tab w:val="left" w:pos="1800"/>
        </w:tabs>
        <w:spacing w:after="0" w:line="240" w:lineRule="auto"/>
        <w:ind w:left="1800"/>
      </w:pPr>
      <w:r w:rsidRPr="00720B0E">
        <w:t>Gently insert the needle into the skin between the epidermis and the dermis.</w:t>
      </w:r>
      <w:r w:rsidR="006B68E5" w:rsidRPr="00720B0E">
        <w:t xml:space="preserve"> </w:t>
      </w:r>
      <w:r w:rsidR="000F6681" w:rsidRPr="00720B0E">
        <w:t>Advance t</w:t>
      </w:r>
      <w:r w:rsidRPr="00720B0E">
        <w:t xml:space="preserve">he needle just beyond the bevel. </w:t>
      </w:r>
    </w:p>
    <w:p w14:paraId="5CFFF560" w14:textId="77777777" w:rsidR="00A91753" w:rsidRPr="00720B0E" w:rsidRDefault="00A91753" w:rsidP="00610600">
      <w:pPr>
        <w:tabs>
          <w:tab w:val="left" w:pos="1800"/>
        </w:tabs>
        <w:spacing w:after="0" w:line="240" w:lineRule="auto"/>
        <w:ind w:left="1800" w:hanging="720"/>
        <w:contextualSpacing/>
      </w:pPr>
    </w:p>
    <w:p w14:paraId="10CE63C0" w14:textId="18CA17F0" w:rsidR="006B68E5" w:rsidRPr="00720B0E" w:rsidRDefault="00702F64" w:rsidP="00610600">
      <w:pPr>
        <w:pStyle w:val="ListParagraph"/>
        <w:numPr>
          <w:ilvl w:val="2"/>
          <w:numId w:val="16"/>
        </w:numPr>
        <w:tabs>
          <w:tab w:val="left" w:pos="1800"/>
        </w:tabs>
        <w:spacing w:after="0" w:line="240" w:lineRule="auto"/>
        <w:ind w:left="1800"/>
      </w:pPr>
      <w:r w:rsidRPr="00720B0E">
        <w:t xml:space="preserve">Inject </w:t>
      </w:r>
      <w:r w:rsidR="00F30FFD" w:rsidRPr="00720B0E">
        <w:t xml:space="preserve">the substance </w:t>
      </w:r>
      <w:r w:rsidRPr="00720B0E">
        <w:t>slowly.</w:t>
      </w:r>
      <w:r w:rsidR="006B68E5" w:rsidRPr="00720B0E">
        <w:t xml:space="preserve"> </w:t>
      </w:r>
      <w:r w:rsidRPr="00720B0E">
        <w:t>Injection of the compound will create a bleb</w:t>
      </w:r>
      <w:r w:rsidR="000C2C30" w:rsidRPr="00720B0E">
        <w:t>,</w:t>
      </w:r>
      <w:r w:rsidR="00A97DEC" w:rsidRPr="00720B0E">
        <w:t xml:space="preserve"> or</w:t>
      </w:r>
      <w:r w:rsidRPr="00720B0E">
        <w:t xml:space="preserve"> small blister</w:t>
      </w:r>
      <w:r w:rsidR="000C2C30" w:rsidRPr="00720B0E">
        <w:t>,</w:t>
      </w:r>
      <w:r w:rsidRPr="00720B0E">
        <w:t xml:space="preserve"> in the skin.</w:t>
      </w:r>
      <w:r w:rsidR="00F02D01" w:rsidRPr="00720B0E">
        <w:t xml:space="preserve"> </w:t>
      </w:r>
    </w:p>
    <w:p w14:paraId="3A5E31D9" w14:textId="77777777" w:rsidR="005055EA" w:rsidRPr="00720B0E" w:rsidRDefault="005055EA" w:rsidP="00610600">
      <w:pPr>
        <w:tabs>
          <w:tab w:val="left" w:pos="1800"/>
        </w:tabs>
        <w:spacing w:after="0" w:line="240" w:lineRule="auto"/>
        <w:ind w:left="1800" w:hanging="720"/>
        <w:contextualSpacing/>
      </w:pPr>
    </w:p>
    <w:p w14:paraId="58D57E63" w14:textId="0C1829FF" w:rsidR="00702F64" w:rsidRPr="00720B0E" w:rsidRDefault="00702F64" w:rsidP="00610600">
      <w:pPr>
        <w:pStyle w:val="ListParagraph"/>
        <w:numPr>
          <w:ilvl w:val="2"/>
          <w:numId w:val="16"/>
        </w:numPr>
        <w:tabs>
          <w:tab w:val="left" w:pos="1800"/>
        </w:tabs>
        <w:spacing w:after="0" w:line="240" w:lineRule="auto"/>
        <w:ind w:left="1800"/>
      </w:pPr>
      <w:r w:rsidRPr="00720B0E">
        <w:t xml:space="preserve">Pause after </w:t>
      </w:r>
      <w:r w:rsidR="000C2C30" w:rsidRPr="00720B0E">
        <w:t xml:space="preserve">the </w:t>
      </w:r>
      <w:r w:rsidRPr="00720B0E">
        <w:t>injecti</w:t>
      </w:r>
      <w:r w:rsidR="000C2C30" w:rsidRPr="00720B0E">
        <w:t>on</w:t>
      </w:r>
      <w:r w:rsidRPr="00720B0E">
        <w:t xml:space="preserve"> to allow the skin to stretch and adjust before withdrawing the needle.</w:t>
      </w:r>
    </w:p>
    <w:p w14:paraId="09831BDF" w14:textId="77777777" w:rsidR="005055EA" w:rsidRDefault="005055EA" w:rsidP="00610600">
      <w:pPr>
        <w:spacing w:after="0" w:line="240" w:lineRule="auto"/>
        <w:contextualSpacing/>
      </w:pPr>
    </w:p>
    <w:p w14:paraId="115E7A4E" w14:textId="77777777" w:rsidR="006B68E5" w:rsidRPr="00720B0E" w:rsidRDefault="00702F64" w:rsidP="00610600">
      <w:pPr>
        <w:pStyle w:val="ListParagraph"/>
        <w:numPr>
          <w:ilvl w:val="1"/>
          <w:numId w:val="16"/>
        </w:numPr>
        <w:spacing w:after="0" w:line="240" w:lineRule="auto"/>
        <w:ind w:left="1080"/>
      </w:pPr>
      <w:r w:rsidRPr="00720B0E">
        <w:t>Precautions</w:t>
      </w:r>
      <w:r w:rsidR="006B68E5" w:rsidRPr="00720B0E">
        <w:t xml:space="preserve"> </w:t>
      </w:r>
    </w:p>
    <w:p w14:paraId="37FC09CD" w14:textId="77777777" w:rsidR="005055EA" w:rsidRPr="00720B0E" w:rsidRDefault="005055EA" w:rsidP="00610600">
      <w:pPr>
        <w:pStyle w:val="ListParagraph"/>
        <w:spacing w:after="0" w:line="240" w:lineRule="auto"/>
        <w:ind w:left="1440"/>
      </w:pPr>
    </w:p>
    <w:p w14:paraId="7086A9BF" w14:textId="77777777" w:rsidR="006B68E5" w:rsidRPr="00720B0E" w:rsidRDefault="00702F64" w:rsidP="00610600">
      <w:pPr>
        <w:pStyle w:val="ListParagraph"/>
        <w:numPr>
          <w:ilvl w:val="2"/>
          <w:numId w:val="16"/>
        </w:numPr>
        <w:tabs>
          <w:tab w:val="left" w:pos="1800"/>
        </w:tabs>
        <w:spacing w:after="0" w:line="240" w:lineRule="auto"/>
        <w:ind w:left="1800"/>
      </w:pPr>
      <w:r w:rsidRPr="00720B0E">
        <w:t>Pulling back on the plunger is not necessary.</w:t>
      </w:r>
    </w:p>
    <w:p w14:paraId="4279A6F5" w14:textId="77777777" w:rsidR="005055EA" w:rsidRPr="00720B0E" w:rsidRDefault="005055EA" w:rsidP="00610600">
      <w:pPr>
        <w:tabs>
          <w:tab w:val="left" w:pos="1800"/>
        </w:tabs>
        <w:spacing w:after="0" w:line="240" w:lineRule="auto"/>
        <w:ind w:left="1800" w:hanging="720"/>
        <w:contextualSpacing/>
      </w:pPr>
    </w:p>
    <w:p w14:paraId="792AF30D" w14:textId="4D80F8F9" w:rsidR="002B628A" w:rsidRPr="00720B0E" w:rsidRDefault="00702F64" w:rsidP="00610600">
      <w:pPr>
        <w:pStyle w:val="ListParagraph"/>
        <w:numPr>
          <w:ilvl w:val="2"/>
          <w:numId w:val="16"/>
        </w:numPr>
        <w:tabs>
          <w:tab w:val="left" w:pos="1800"/>
        </w:tabs>
        <w:spacing w:after="0" w:line="240" w:lineRule="auto"/>
        <w:ind w:left="1800"/>
      </w:pPr>
      <w:r w:rsidRPr="00720B0E">
        <w:t>If the needle is inserted into the subcutaneous space</w:t>
      </w:r>
      <w:r w:rsidR="000C2C30" w:rsidRPr="00720B0E">
        <w:t>,</w:t>
      </w:r>
      <w:r w:rsidRPr="00720B0E">
        <w:t xml:space="preserve"> </w:t>
      </w:r>
      <w:r w:rsidR="000F6681" w:rsidRPr="00720B0E">
        <w:t>no</w:t>
      </w:r>
      <w:r w:rsidRPr="00720B0E">
        <w:t xml:space="preserve"> bleb </w:t>
      </w:r>
      <w:r w:rsidR="000C2C30" w:rsidRPr="00720B0E">
        <w:t xml:space="preserve">is </w:t>
      </w:r>
      <w:r w:rsidRPr="00720B0E">
        <w:t>formed.</w:t>
      </w:r>
      <w:r w:rsidR="006B68E5" w:rsidRPr="00720B0E">
        <w:t xml:space="preserve"> </w:t>
      </w:r>
      <w:r w:rsidRPr="00720B0E">
        <w:t>Injecting too deeply result</w:t>
      </w:r>
      <w:r w:rsidR="000F6681" w:rsidRPr="00720B0E">
        <w:t>s</w:t>
      </w:r>
      <w:r w:rsidRPr="00720B0E">
        <w:t xml:space="preserve"> in a subcutaneous injection</w:t>
      </w:r>
      <w:r w:rsidR="006B68E5" w:rsidRPr="00720B0E">
        <w:t xml:space="preserve">. </w:t>
      </w:r>
      <w:r w:rsidRPr="00720B0E">
        <w:t xml:space="preserve"> </w:t>
      </w:r>
    </w:p>
    <w:p w14:paraId="06106265" w14:textId="77777777" w:rsidR="005055EA" w:rsidRPr="00720B0E" w:rsidRDefault="005055EA" w:rsidP="00610600">
      <w:pPr>
        <w:tabs>
          <w:tab w:val="left" w:pos="1800"/>
        </w:tabs>
        <w:spacing w:after="0" w:line="240" w:lineRule="auto"/>
        <w:ind w:left="1800" w:hanging="720"/>
        <w:contextualSpacing/>
      </w:pPr>
    </w:p>
    <w:p w14:paraId="7FBB44DC" w14:textId="67DC51F4" w:rsidR="002B628A" w:rsidRPr="00720B0E" w:rsidRDefault="00702F64" w:rsidP="00610600">
      <w:pPr>
        <w:pStyle w:val="ListParagraph"/>
        <w:numPr>
          <w:ilvl w:val="2"/>
          <w:numId w:val="16"/>
        </w:numPr>
        <w:tabs>
          <w:tab w:val="left" w:pos="1800"/>
        </w:tabs>
        <w:spacing w:after="0" w:line="240" w:lineRule="auto"/>
        <w:ind w:left="1800"/>
      </w:pPr>
      <w:r w:rsidRPr="00720B0E">
        <w:lastRenderedPageBreak/>
        <w:t>Avoid blotting or wiping the area</w:t>
      </w:r>
      <w:r w:rsidR="000C2C30" w:rsidRPr="00720B0E">
        <w:t>,</w:t>
      </w:r>
      <w:r w:rsidRPr="00720B0E">
        <w:t xml:space="preserve"> as that can cause the compound to leak from the injection site.</w:t>
      </w:r>
    </w:p>
    <w:p w14:paraId="4514DB4C" w14:textId="77777777" w:rsidR="005055EA" w:rsidRPr="00720B0E" w:rsidRDefault="005055EA" w:rsidP="00610600">
      <w:pPr>
        <w:tabs>
          <w:tab w:val="left" w:pos="1800"/>
        </w:tabs>
        <w:spacing w:after="0" w:line="240" w:lineRule="auto"/>
        <w:ind w:left="1800" w:hanging="720"/>
        <w:contextualSpacing/>
      </w:pPr>
    </w:p>
    <w:p w14:paraId="4E4DB7F6" w14:textId="77777777" w:rsidR="00702F64" w:rsidRPr="00720B0E" w:rsidRDefault="00702F64" w:rsidP="00610600">
      <w:pPr>
        <w:pStyle w:val="ListParagraph"/>
        <w:numPr>
          <w:ilvl w:val="2"/>
          <w:numId w:val="16"/>
        </w:numPr>
        <w:tabs>
          <w:tab w:val="left" w:pos="1800"/>
        </w:tabs>
        <w:spacing w:after="0" w:line="240" w:lineRule="auto"/>
        <w:ind w:left="1800"/>
      </w:pPr>
      <w:r w:rsidRPr="00720B0E">
        <w:t>When performing multiple injections, space them so that the blebs do not overlap.</w:t>
      </w:r>
    </w:p>
    <w:p w14:paraId="323EB3B9" w14:textId="77777777" w:rsidR="00F57200" w:rsidRDefault="00F57200" w:rsidP="00F57200">
      <w:pPr>
        <w:spacing w:after="0" w:line="240" w:lineRule="auto"/>
      </w:pPr>
    </w:p>
    <w:p w14:paraId="2AB2E1EE" w14:textId="77777777" w:rsidR="00F57200" w:rsidRPr="00F57200" w:rsidRDefault="00F57200" w:rsidP="00F57200">
      <w:pPr>
        <w:spacing w:after="0" w:line="240" w:lineRule="auto"/>
        <w:contextualSpacing/>
        <w:rPr>
          <w:b/>
        </w:rPr>
      </w:pPr>
      <w:r w:rsidRPr="00F57200">
        <w:rPr>
          <w:b/>
        </w:rPr>
        <w:t xml:space="preserve">Figure 1. </w:t>
      </w:r>
      <w:proofErr w:type="gramStart"/>
      <w:r w:rsidRPr="00F57200">
        <w:rPr>
          <w:b/>
        </w:rPr>
        <w:t>Intradermal injection in mice.</w:t>
      </w:r>
      <w:proofErr w:type="gramEnd"/>
      <w:r w:rsidRPr="00F57200">
        <w:rPr>
          <w:b/>
        </w:rPr>
        <w:t xml:space="preserve"> </w:t>
      </w:r>
    </w:p>
    <w:p w14:paraId="1A0AC84D" w14:textId="77777777" w:rsidR="00F57200" w:rsidRPr="00720B0E" w:rsidRDefault="00F57200" w:rsidP="00F57200">
      <w:pPr>
        <w:spacing w:after="0" w:line="240" w:lineRule="auto"/>
      </w:pPr>
    </w:p>
    <w:p w14:paraId="443C8C98" w14:textId="5AE30F7B" w:rsidR="002646A5" w:rsidRPr="00720B0E" w:rsidRDefault="000E7161" w:rsidP="00610600">
      <w:pPr>
        <w:pStyle w:val="ListParagraph"/>
        <w:numPr>
          <w:ilvl w:val="0"/>
          <w:numId w:val="16"/>
        </w:numPr>
        <w:spacing w:after="0" w:line="240" w:lineRule="auto"/>
        <w:ind w:left="180" w:hanging="180"/>
      </w:pPr>
      <w:r w:rsidRPr="00720B0E">
        <w:t xml:space="preserve">  </w:t>
      </w:r>
      <w:r w:rsidR="002646A5" w:rsidRPr="00720B0E">
        <w:t>Intranasal administration</w:t>
      </w:r>
    </w:p>
    <w:p w14:paraId="150BE1CF" w14:textId="77777777" w:rsidR="005055EA" w:rsidRPr="00720B0E" w:rsidRDefault="005055EA" w:rsidP="00610600">
      <w:pPr>
        <w:spacing w:after="0" w:line="240" w:lineRule="auto"/>
        <w:contextualSpacing/>
      </w:pPr>
    </w:p>
    <w:p w14:paraId="61EA8227" w14:textId="77777777" w:rsidR="002F6BBE" w:rsidRPr="00720B0E" w:rsidRDefault="007D7633" w:rsidP="00610600">
      <w:pPr>
        <w:pStyle w:val="ListParagraph"/>
        <w:numPr>
          <w:ilvl w:val="1"/>
          <w:numId w:val="16"/>
        </w:numPr>
        <w:spacing w:after="0" w:line="240" w:lineRule="auto"/>
        <w:ind w:left="1080"/>
      </w:pPr>
      <w:r w:rsidRPr="00720B0E">
        <w:t>Equipment</w:t>
      </w:r>
      <w:r w:rsidR="002F6BBE" w:rsidRPr="00720B0E">
        <w:t xml:space="preserve"> </w:t>
      </w:r>
    </w:p>
    <w:p w14:paraId="0A82A618" w14:textId="77777777" w:rsidR="005055EA" w:rsidRPr="00720B0E" w:rsidRDefault="005055EA" w:rsidP="00610600">
      <w:pPr>
        <w:spacing w:after="0" w:line="240" w:lineRule="auto"/>
        <w:ind w:left="1800" w:hanging="720"/>
        <w:contextualSpacing/>
      </w:pPr>
    </w:p>
    <w:p w14:paraId="5883470F" w14:textId="0A40F441" w:rsidR="00BD45EC" w:rsidRPr="00720B0E" w:rsidRDefault="000F6681" w:rsidP="00610600">
      <w:pPr>
        <w:pStyle w:val="ListParagraph"/>
        <w:numPr>
          <w:ilvl w:val="2"/>
          <w:numId w:val="16"/>
        </w:numPr>
        <w:spacing w:after="0" w:line="240" w:lineRule="auto"/>
        <w:ind w:left="1800"/>
      </w:pPr>
      <w:r w:rsidRPr="00720B0E">
        <w:t>Use a</w:t>
      </w:r>
      <w:r w:rsidR="007D7633" w:rsidRPr="00720B0E">
        <w:t xml:space="preserve"> </w:t>
      </w:r>
      <w:proofErr w:type="spellStart"/>
      <w:r w:rsidR="002F6BBE" w:rsidRPr="00720B0E">
        <w:t>micropipetting</w:t>
      </w:r>
      <w:proofErr w:type="spellEnd"/>
      <w:r w:rsidR="002F6BBE" w:rsidRPr="00720B0E">
        <w:t xml:space="preserve"> unit </w:t>
      </w:r>
      <w:r w:rsidR="007D7633" w:rsidRPr="00720B0E">
        <w:t>pipette that can be calibrated to deliver an accurate volume.</w:t>
      </w:r>
      <w:r w:rsidR="002F6BBE" w:rsidRPr="00720B0E">
        <w:t xml:space="preserve"> </w:t>
      </w:r>
    </w:p>
    <w:p w14:paraId="51DDBC0F" w14:textId="77777777" w:rsidR="005055EA" w:rsidRPr="00720B0E" w:rsidRDefault="005055EA" w:rsidP="00610600">
      <w:pPr>
        <w:spacing w:after="0" w:line="240" w:lineRule="auto"/>
        <w:ind w:left="1800" w:hanging="720"/>
        <w:contextualSpacing/>
      </w:pPr>
    </w:p>
    <w:p w14:paraId="780C420A" w14:textId="4856867C" w:rsidR="005055EA" w:rsidRPr="00720B0E" w:rsidRDefault="002F6BBE" w:rsidP="00610600">
      <w:pPr>
        <w:pStyle w:val="ListParagraph"/>
        <w:numPr>
          <w:ilvl w:val="2"/>
          <w:numId w:val="16"/>
        </w:numPr>
        <w:spacing w:after="0" w:line="240" w:lineRule="auto"/>
        <w:ind w:left="1800"/>
      </w:pPr>
      <w:r w:rsidRPr="00720B0E">
        <w:t>Disposable pipe</w:t>
      </w:r>
      <w:r w:rsidR="007D21C0" w:rsidRPr="00720B0E">
        <w:t xml:space="preserve">tte tips should be used to avoid cross-contamination. </w:t>
      </w:r>
      <w:r w:rsidR="005E7AB8" w:rsidRPr="00720B0E">
        <w:t xml:space="preserve"> </w:t>
      </w:r>
      <w:r w:rsidR="009055CC" w:rsidRPr="00720B0E">
        <w:t>TB syringe</w:t>
      </w:r>
      <w:r w:rsidR="000C2C30" w:rsidRPr="00720B0E">
        <w:t>s</w:t>
      </w:r>
      <w:r w:rsidR="009055CC" w:rsidRPr="00720B0E">
        <w:t xml:space="preserve">, </w:t>
      </w:r>
      <w:r w:rsidR="007D7633" w:rsidRPr="00720B0E">
        <w:t>blunt needles</w:t>
      </w:r>
      <w:r w:rsidR="009055CC" w:rsidRPr="00720B0E">
        <w:t>, and flexible tubing</w:t>
      </w:r>
      <w:r w:rsidR="007D7633" w:rsidRPr="00720B0E">
        <w:t xml:space="preserve"> </w:t>
      </w:r>
      <w:r w:rsidR="007D21C0" w:rsidRPr="00720B0E">
        <w:t>can also be used for dosing.</w:t>
      </w:r>
    </w:p>
    <w:p w14:paraId="05466D80" w14:textId="77777777" w:rsidR="005055EA" w:rsidRPr="00720B0E" w:rsidRDefault="005055EA" w:rsidP="00610600">
      <w:pPr>
        <w:pStyle w:val="ListParagraph"/>
        <w:spacing w:after="0" w:line="240" w:lineRule="auto"/>
        <w:ind w:left="1800" w:hanging="720"/>
      </w:pPr>
    </w:p>
    <w:p w14:paraId="3929F138" w14:textId="3C1CA4AE" w:rsidR="009055CC" w:rsidRPr="00720B0E" w:rsidRDefault="000C2C30" w:rsidP="00610600">
      <w:pPr>
        <w:pStyle w:val="ListParagraph"/>
        <w:numPr>
          <w:ilvl w:val="2"/>
          <w:numId w:val="16"/>
        </w:numPr>
        <w:spacing w:after="0" w:line="240" w:lineRule="auto"/>
        <w:ind w:left="1800"/>
      </w:pPr>
      <w:r w:rsidRPr="00720B0E">
        <w:t>Total injection v</w:t>
      </w:r>
      <w:r w:rsidR="009055CC" w:rsidRPr="00720B0E">
        <w:t>olumes for rats should not exceed 40</w:t>
      </w:r>
      <w:r w:rsidRPr="00720B0E">
        <w:rPr>
          <w:rFonts w:ascii="Calibri" w:hAnsi="Calibri"/>
        </w:rPr>
        <w:t>–</w:t>
      </w:r>
      <w:r w:rsidR="009055CC" w:rsidRPr="00720B0E">
        <w:t xml:space="preserve">100 </w:t>
      </w:r>
      <w:r w:rsidR="009055CC" w:rsidRPr="00720B0E">
        <w:rPr>
          <w:rFonts w:cstheme="minorHAnsi"/>
        </w:rPr>
        <w:t>µ</w:t>
      </w:r>
      <w:r w:rsidR="009055CC" w:rsidRPr="00720B0E">
        <w:t>L</w:t>
      </w:r>
      <w:r w:rsidRPr="00720B0E">
        <w:t>,</w:t>
      </w:r>
      <w:r w:rsidR="009055CC" w:rsidRPr="00720B0E">
        <w:t xml:space="preserve"> </w:t>
      </w:r>
      <w:r w:rsidRPr="00720B0E">
        <w:t xml:space="preserve">and should be </w:t>
      </w:r>
      <w:r w:rsidR="009055CC" w:rsidRPr="00720B0E">
        <w:t>given in 6</w:t>
      </w:r>
      <w:r w:rsidRPr="00720B0E">
        <w:rPr>
          <w:rFonts w:ascii="Calibri" w:hAnsi="Calibri"/>
        </w:rPr>
        <w:t>–</w:t>
      </w:r>
      <w:r w:rsidR="009055CC" w:rsidRPr="00720B0E">
        <w:t xml:space="preserve">10 </w:t>
      </w:r>
      <w:r w:rsidR="009E10C2" w:rsidRPr="00720B0E">
        <w:t xml:space="preserve">µL </w:t>
      </w:r>
      <w:r w:rsidR="009055CC" w:rsidRPr="00720B0E">
        <w:t xml:space="preserve">drops. For mice, the maximum total volume is 24 </w:t>
      </w:r>
      <w:r w:rsidR="009055CC" w:rsidRPr="00720B0E">
        <w:rPr>
          <w:rFonts w:cstheme="minorHAnsi"/>
        </w:rPr>
        <w:t>µL</w:t>
      </w:r>
      <w:r w:rsidRPr="00720B0E">
        <w:rPr>
          <w:rFonts w:cstheme="minorHAnsi"/>
        </w:rPr>
        <w:t>,</w:t>
      </w:r>
      <w:r w:rsidR="009055CC" w:rsidRPr="00720B0E">
        <w:rPr>
          <w:rFonts w:cstheme="minorHAnsi"/>
        </w:rPr>
        <w:t xml:space="preserve"> given in 3</w:t>
      </w:r>
      <w:r w:rsidR="009A1F85" w:rsidRPr="00720B0E">
        <w:rPr>
          <w:rFonts w:ascii="Calibri" w:hAnsi="Calibri"/>
        </w:rPr>
        <w:t>–</w:t>
      </w:r>
      <w:r w:rsidR="009055CC" w:rsidRPr="00720B0E">
        <w:rPr>
          <w:rFonts w:cstheme="minorHAnsi"/>
        </w:rPr>
        <w:t xml:space="preserve">4 µL drops. </w:t>
      </w:r>
      <w:r w:rsidR="000F6681" w:rsidRPr="00720B0E">
        <w:rPr>
          <w:rFonts w:cstheme="minorHAnsi"/>
        </w:rPr>
        <w:br/>
      </w:r>
    </w:p>
    <w:p w14:paraId="1917B2C2" w14:textId="5D5C9A50" w:rsidR="007D21C0" w:rsidRPr="00720B0E" w:rsidRDefault="00560B83" w:rsidP="00610600">
      <w:pPr>
        <w:pStyle w:val="ListParagraph"/>
        <w:numPr>
          <w:ilvl w:val="1"/>
          <w:numId w:val="16"/>
        </w:numPr>
        <w:spacing w:after="0" w:line="240" w:lineRule="auto"/>
        <w:ind w:left="1080"/>
      </w:pPr>
      <w:r w:rsidRPr="00720B0E">
        <w:t xml:space="preserve"> </w:t>
      </w:r>
      <w:r w:rsidR="007D7633" w:rsidRPr="00720B0E">
        <w:t>Administration in conscious animals</w:t>
      </w:r>
      <w:r w:rsidR="007D21C0" w:rsidRPr="00720B0E">
        <w:t xml:space="preserve"> </w:t>
      </w:r>
      <w:r w:rsidR="000F6681" w:rsidRPr="00720B0E">
        <w:br/>
      </w:r>
    </w:p>
    <w:p w14:paraId="3D3185E8" w14:textId="77777777" w:rsidR="007D21C0" w:rsidRPr="00720B0E" w:rsidRDefault="007D21C0" w:rsidP="00610600">
      <w:pPr>
        <w:pStyle w:val="ListParagraph"/>
        <w:numPr>
          <w:ilvl w:val="2"/>
          <w:numId w:val="16"/>
        </w:numPr>
        <w:spacing w:after="0" w:line="240" w:lineRule="auto"/>
        <w:ind w:left="1800"/>
      </w:pPr>
      <w:r w:rsidRPr="00720B0E">
        <w:t xml:space="preserve">Manual restraint in conscious animals requires that </w:t>
      </w:r>
      <w:r w:rsidR="00F40159" w:rsidRPr="00720B0E">
        <w:t xml:space="preserve">the </w:t>
      </w:r>
      <w:r w:rsidRPr="00720B0E">
        <w:t>head be relatively immobile so that the pipette tip or blunt needle can be placed close enough to the nares to deliver the compound</w:t>
      </w:r>
      <w:r w:rsidR="00F40159" w:rsidRPr="00720B0E">
        <w:t>,</w:t>
      </w:r>
      <w:r w:rsidRPr="00720B0E">
        <w:t xml:space="preserve"> but not so close as to poke</w:t>
      </w:r>
      <w:r w:rsidR="00D85D1B" w:rsidRPr="00720B0E">
        <w:t xml:space="preserve"> or lacerate the nasal tissue.</w:t>
      </w:r>
    </w:p>
    <w:p w14:paraId="79E3846A" w14:textId="77777777" w:rsidR="005055EA" w:rsidRPr="00720B0E" w:rsidRDefault="005055EA" w:rsidP="00610600">
      <w:pPr>
        <w:pStyle w:val="ListParagraph"/>
        <w:spacing w:after="0" w:line="240" w:lineRule="auto"/>
        <w:ind w:left="1800" w:hanging="720"/>
      </w:pPr>
    </w:p>
    <w:p w14:paraId="2FEAEF6C" w14:textId="77777777" w:rsidR="000F6681" w:rsidRPr="00720B0E" w:rsidRDefault="000F6681" w:rsidP="00610600">
      <w:pPr>
        <w:pStyle w:val="ListParagraph"/>
        <w:numPr>
          <w:ilvl w:val="2"/>
          <w:numId w:val="16"/>
        </w:numPr>
        <w:spacing w:after="0" w:line="240" w:lineRule="auto"/>
        <w:ind w:left="1800"/>
      </w:pPr>
      <w:r w:rsidRPr="00720B0E">
        <w:t>Restrain the animal and ho</w:t>
      </w:r>
      <w:r w:rsidR="007D7633" w:rsidRPr="00720B0E">
        <w:t xml:space="preserve">ld </w:t>
      </w:r>
      <w:r w:rsidRPr="00720B0E">
        <w:t>it in a vertical position.</w:t>
      </w:r>
      <w:r w:rsidR="007D7633" w:rsidRPr="00720B0E">
        <w:t xml:space="preserve"> </w:t>
      </w:r>
    </w:p>
    <w:p w14:paraId="285BCA33" w14:textId="77777777" w:rsidR="005055EA" w:rsidRPr="00720B0E" w:rsidRDefault="005055EA" w:rsidP="00610600">
      <w:pPr>
        <w:spacing w:after="0" w:line="240" w:lineRule="auto"/>
        <w:ind w:left="1800" w:hanging="720"/>
        <w:contextualSpacing/>
      </w:pPr>
    </w:p>
    <w:p w14:paraId="62EFC96A" w14:textId="31E68BD8" w:rsidR="007D21C0" w:rsidRPr="00720B0E" w:rsidRDefault="000F6681" w:rsidP="00610600">
      <w:pPr>
        <w:pStyle w:val="ListParagraph"/>
        <w:numPr>
          <w:ilvl w:val="2"/>
          <w:numId w:val="16"/>
        </w:numPr>
        <w:spacing w:after="0" w:line="240" w:lineRule="auto"/>
        <w:ind w:left="1800"/>
      </w:pPr>
      <w:r w:rsidRPr="00720B0E">
        <w:t>P</w:t>
      </w:r>
      <w:r w:rsidR="007D7633" w:rsidRPr="00720B0E">
        <w:t>lace a small drop of</w:t>
      </w:r>
      <w:r w:rsidR="007F05ED" w:rsidRPr="00720B0E">
        <w:t xml:space="preserve"> a</w:t>
      </w:r>
      <w:r w:rsidR="007D7633" w:rsidRPr="00720B0E">
        <w:t xml:space="preserve"> liquid compound at the nasal opening.</w:t>
      </w:r>
      <w:r w:rsidR="007D21C0" w:rsidRPr="00720B0E">
        <w:t xml:space="preserve"> </w:t>
      </w:r>
      <w:r w:rsidR="007D7633" w:rsidRPr="00720B0E">
        <w:t xml:space="preserve">The animal </w:t>
      </w:r>
      <w:r w:rsidRPr="00720B0E">
        <w:t>should</w:t>
      </w:r>
      <w:r w:rsidR="007D7633" w:rsidRPr="00720B0E">
        <w:t xml:space="preserve"> inhale the droplet. </w:t>
      </w:r>
    </w:p>
    <w:p w14:paraId="1B5E2A42" w14:textId="77777777" w:rsidR="005055EA" w:rsidRPr="00720B0E" w:rsidRDefault="005055EA" w:rsidP="00610600">
      <w:pPr>
        <w:spacing w:after="0" w:line="240" w:lineRule="auto"/>
        <w:ind w:left="1800" w:hanging="720"/>
        <w:contextualSpacing/>
      </w:pPr>
    </w:p>
    <w:p w14:paraId="240ED6C7" w14:textId="69DA6240" w:rsidR="007D21C0" w:rsidRPr="00720B0E" w:rsidRDefault="007D7633" w:rsidP="00610600">
      <w:pPr>
        <w:pStyle w:val="ListParagraph"/>
        <w:numPr>
          <w:ilvl w:val="2"/>
          <w:numId w:val="16"/>
        </w:numPr>
        <w:spacing w:after="0" w:line="240" w:lineRule="auto"/>
        <w:ind w:left="1800"/>
      </w:pPr>
      <w:r w:rsidRPr="00720B0E">
        <w:t xml:space="preserve">Administer </w:t>
      </w:r>
      <w:r w:rsidR="00461B6D" w:rsidRPr="00720B0E">
        <w:t xml:space="preserve">an </w:t>
      </w:r>
      <w:r w:rsidRPr="00720B0E">
        <w:t>additional volume</w:t>
      </w:r>
      <w:r w:rsidR="00461B6D" w:rsidRPr="00720B0E">
        <w:t>,</w:t>
      </w:r>
      <w:r w:rsidRPr="00720B0E">
        <w:t xml:space="preserve"> alternating nares until the entire volume has been </w:t>
      </w:r>
      <w:r w:rsidR="000F6681" w:rsidRPr="00720B0E">
        <w:t>given</w:t>
      </w:r>
      <w:r w:rsidRPr="00720B0E">
        <w:t>.</w:t>
      </w:r>
    </w:p>
    <w:p w14:paraId="7CC25376" w14:textId="77777777" w:rsidR="005055EA" w:rsidRPr="00720B0E" w:rsidRDefault="005055EA" w:rsidP="00610600">
      <w:pPr>
        <w:spacing w:after="0" w:line="240" w:lineRule="auto"/>
        <w:ind w:left="1800" w:hanging="720"/>
        <w:contextualSpacing/>
      </w:pPr>
    </w:p>
    <w:p w14:paraId="68526004" w14:textId="21DE8BDE" w:rsidR="007D7633" w:rsidRDefault="007D7633" w:rsidP="00610600">
      <w:pPr>
        <w:pStyle w:val="ListParagraph"/>
        <w:numPr>
          <w:ilvl w:val="2"/>
          <w:numId w:val="16"/>
        </w:numPr>
        <w:spacing w:after="0" w:line="240" w:lineRule="auto"/>
        <w:ind w:left="1800"/>
      </w:pPr>
      <w:r w:rsidRPr="00720B0E">
        <w:t xml:space="preserve">When administering larger volumes, it is important </w:t>
      </w:r>
      <w:r w:rsidR="000F6681" w:rsidRPr="00720B0E">
        <w:t>to not constrict the chest</w:t>
      </w:r>
      <w:r w:rsidRPr="00720B0E">
        <w:t xml:space="preserve"> during restraint. Chest compression impede</w:t>
      </w:r>
      <w:r w:rsidR="00461B6D" w:rsidRPr="00720B0E">
        <w:t>s</w:t>
      </w:r>
      <w:r w:rsidRPr="00720B0E">
        <w:t xml:space="preserve"> the ability of the animal to take sufficiently deep breaths to draw the liquid into the bronchi and lungs. </w:t>
      </w:r>
    </w:p>
    <w:p w14:paraId="6C0D9D52" w14:textId="77777777" w:rsidR="00B36F0A" w:rsidRDefault="00B36F0A" w:rsidP="00B36F0A">
      <w:pPr>
        <w:spacing w:after="0" w:line="240" w:lineRule="auto"/>
      </w:pPr>
    </w:p>
    <w:p w14:paraId="71A8994A" w14:textId="23EEBA8B" w:rsidR="00B36F0A" w:rsidRPr="00B36F0A" w:rsidRDefault="00B36F0A" w:rsidP="00B36F0A">
      <w:pPr>
        <w:spacing w:after="0" w:line="240" w:lineRule="auto"/>
        <w:rPr>
          <w:b/>
        </w:rPr>
      </w:pPr>
      <w:r w:rsidRPr="00B36F0A">
        <w:rPr>
          <w:b/>
        </w:rPr>
        <w:t xml:space="preserve">Figure 2. </w:t>
      </w:r>
      <w:proofErr w:type="gramStart"/>
      <w:r w:rsidRPr="00B36F0A">
        <w:rPr>
          <w:b/>
        </w:rPr>
        <w:t>Intranasal administration in conscious mice.</w:t>
      </w:r>
      <w:proofErr w:type="gramEnd"/>
      <w:r w:rsidRPr="00B36F0A">
        <w:rPr>
          <w:b/>
        </w:rPr>
        <w:t xml:space="preserve"> </w:t>
      </w:r>
    </w:p>
    <w:p w14:paraId="1BCD0969" w14:textId="77777777" w:rsidR="00B36F0A" w:rsidRPr="00720B0E" w:rsidRDefault="00B36F0A" w:rsidP="00B36F0A">
      <w:pPr>
        <w:spacing w:after="0" w:line="240" w:lineRule="auto"/>
      </w:pPr>
    </w:p>
    <w:p w14:paraId="3B3A5D7C" w14:textId="4498E7EC" w:rsidR="00201CAB" w:rsidRPr="00720B0E" w:rsidRDefault="00560B83" w:rsidP="00610600">
      <w:pPr>
        <w:pStyle w:val="ListParagraph"/>
        <w:numPr>
          <w:ilvl w:val="1"/>
          <w:numId w:val="16"/>
        </w:numPr>
        <w:spacing w:after="0" w:line="240" w:lineRule="auto"/>
        <w:ind w:left="1080"/>
      </w:pPr>
      <w:r w:rsidRPr="00720B0E">
        <w:t xml:space="preserve"> </w:t>
      </w:r>
      <w:r w:rsidR="007D7633" w:rsidRPr="00720B0E">
        <w:t>Administration in unconscious animals</w:t>
      </w:r>
      <w:r w:rsidR="00B4789A" w:rsidRPr="00720B0E">
        <w:br/>
      </w:r>
    </w:p>
    <w:p w14:paraId="49212454" w14:textId="45D781A2" w:rsidR="00201CAB" w:rsidRPr="00720B0E" w:rsidRDefault="007D21C0" w:rsidP="00610600">
      <w:pPr>
        <w:pStyle w:val="ListParagraph"/>
        <w:numPr>
          <w:ilvl w:val="2"/>
          <w:numId w:val="16"/>
        </w:numPr>
        <w:tabs>
          <w:tab w:val="left" w:pos="1800"/>
        </w:tabs>
        <w:spacing w:after="0" w:line="240" w:lineRule="auto"/>
        <w:ind w:left="1800"/>
      </w:pPr>
      <w:r w:rsidRPr="00720B0E">
        <w:t>Using inhalation anesthetics allows for an immobilized animal during the approach and delivery of the compound. This eliminates the possibility of the animal biting the dosing equipment, the loss of the compound due to jerking of the head, and injury to the animal’s nasal tissue, eyes</w:t>
      </w:r>
      <w:r w:rsidR="00B4789A" w:rsidRPr="00720B0E">
        <w:t>,</w:t>
      </w:r>
      <w:r w:rsidRPr="00720B0E">
        <w:t xml:space="preserve"> or facial skin. </w:t>
      </w:r>
      <w:r w:rsidR="00B4789A" w:rsidRPr="00720B0E">
        <w:t>T</w:t>
      </w:r>
      <w:r w:rsidR="00201CAB" w:rsidRPr="00720B0E">
        <w:t>he animal is</w:t>
      </w:r>
      <w:r w:rsidR="00B4789A" w:rsidRPr="00720B0E">
        <w:t xml:space="preserve"> also</w:t>
      </w:r>
      <w:r w:rsidR="00201CAB" w:rsidRPr="00720B0E">
        <w:t xml:space="preserve"> less likely to snort and spray the compound from the nares upon administration.</w:t>
      </w:r>
    </w:p>
    <w:p w14:paraId="333A1D30" w14:textId="77777777" w:rsidR="005055EA" w:rsidRPr="00720B0E" w:rsidRDefault="005055EA" w:rsidP="00610600">
      <w:pPr>
        <w:pStyle w:val="ListParagraph"/>
        <w:tabs>
          <w:tab w:val="left" w:pos="1800"/>
        </w:tabs>
        <w:spacing w:after="0" w:line="240" w:lineRule="auto"/>
        <w:ind w:left="1800" w:hanging="720"/>
      </w:pPr>
    </w:p>
    <w:p w14:paraId="177B92E5" w14:textId="2A8D38B3" w:rsidR="00B4403F" w:rsidRPr="00720B0E" w:rsidRDefault="00B4789A" w:rsidP="00610600">
      <w:pPr>
        <w:pStyle w:val="ListParagraph"/>
        <w:numPr>
          <w:ilvl w:val="2"/>
          <w:numId w:val="16"/>
        </w:numPr>
        <w:tabs>
          <w:tab w:val="left" w:pos="1800"/>
        </w:tabs>
        <w:spacing w:after="0" w:line="240" w:lineRule="auto"/>
        <w:ind w:left="1800"/>
      </w:pPr>
      <w:r w:rsidRPr="00720B0E">
        <w:t xml:space="preserve">Place the animal in the supine position. </w:t>
      </w:r>
      <w:r w:rsidR="00B4403F" w:rsidRPr="00720B0E">
        <w:t>The position of the head influences the placement of the solution in the nares. It has been demonstrated that the ideal position for CNS delivery is with the animal supine</w:t>
      </w:r>
      <w:r w:rsidR="00D213DA" w:rsidRPr="00720B0E">
        <w:t>; t</w:t>
      </w:r>
      <w:r w:rsidRPr="00720B0E">
        <w:t>his</w:t>
      </w:r>
      <w:r w:rsidR="00B4403F" w:rsidRPr="00720B0E">
        <w:t xml:space="preserve"> allows for better absorption.</w:t>
      </w:r>
      <w:r w:rsidR="009E10C2" w:rsidRPr="00720B0E">
        <w:rPr>
          <w:vertAlign w:val="superscript"/>
        </w:rPr>
        <w:t>2</w:t>
      </w:r>
      <w:r w:rsidR="00B4403F" w:rsidRPr="00720B0E">
        <w:t xml:space="preserve"> </w:t>
      </w:r>
    </w:p>
    <w:p w14:paraId="577E7EFF" w14:textId="77777777" w:rsidR="005055EA" w:rsidRPr="00720B0E" w:rsidRDefault="005055EA" w:rsidP="00610600">
      <w:pPr>
        <w:tabs>
          <w:tab w:val="left" w:pos="1800"/>
        </w:tabs>
        <w:spacing w:after="0" w:line="240" w:lineRule="auto"/>
        <w:ind w:left="1800" w:hanging="720"/>
        <w:contextualSpacing/>
      </w:pPr>
    </w:p>
    <w:p w14:paraId="7ABF0FA3" w14:textId="4A4544C6" w:rsidR="00B4789A" w:rsidRPr="00720B0E" w:rsidRDefault="00B4789A" w:rsidP="00610600">
      <w:pPr>
        <w:pStyle w:val="ListParagraph"/>
        <w:numPr>
          <w:ilvl w:val="2"/>
          <w:numId w:val="16"/>
        </w:numPr>
        <w:tabs>
          <w:tab w:val="left" w:pos="1800"/>
        </w:tabs>
        <w:spacing w:after="0" w:line="240" w:lineRule="auto"/>
        <w:ind w:left="1800"/>
      </w:pPr>
      <w:r w:rsidRPr="00720B0E">
        <w:t>Administer half of t</w:t>
      </w:r>
      <w:r w:rsidR="007D21C0" w:rsidRPr="00720B0E">
        <w:t>he</w:t>
      </w:r>
      <w:r w:rsidRPr="00720B0E">
        <w:t xml:space="preserve"> compound</w:t>
      </w:r>
      <w:r w:rsidR="007D21C0" w:rsidRPr="00720B0E">
        <w:t xml:space="preserve"> </w:t>
      </w:r>
      <w:r w:rsidR="007D7633" w:rsidRPr="00720B0E">
        <w:t>directly</w:t>
      </w:r>
      <w:r w:rsidRPr="00720B0E">
        <w:t xml:space="preserve"> into one side of the </w:t>
      </w:r>
      <w:r w:rsidR="007D7633" w:rsidRPr="00720B0E">
        <w:t>nasal opening</w:t>
      </w:r>
      <w:r w:rsidRPr="00720B0E">
        <w:t>,</w:t>
      </w:r>
      <w:r w:rsidR="007D7633" w:rsidRPr="00720B0E">
        <w:t xml:space="preserve"> timing it with inhalation</w:t>
      </w:r>
      <w:r w:rsidR="002834FC" w:rsidRPr="00720B0E">
        <w:t>.</w:t>
      </w:r>
      <w:r w:rsidRPr="00720B0E">
        <w:t xml:space="preserve"> </w:t>
      </w:r>
      <w:r w:rsidR="002834FC" w:rsidRPr="00720B0E">
        <w:t>T</w:t>
      </w:r>
      <w:r w:rsidRPr="00720B0E">
        <w:t>hen</w:t>
      </w:r>
      <w:r w:rsidR="002834FC" w:rsidRPr="00720B0E">
        <w:t>,</w:t>
      </w:r>
      <w:r w:rsidRPr="00720B0E">
        <w:t xml:space="preserve"> turn the animal over</w:t>
      </w:r>
      <w:r w:rsidR="007D7633" w:rsidRPr="00720B0E">
        <w:t>.</w:t>
      </w:r>
      <w:r w:rsidR="00201CAB" w:rsidRPr="00720B0E">
        <w:t xml:space="preserve"> </w:t>
      </w:r>
    </w:p>
    <w:p w14:paraId="51C238F8" w14:textId="77777777" w:rsidR="005055EA" w:rsidRPr="00720B0E" w:rsidRDefault="005055EA" w:rsidP="00610600">
      <w:pPr>
        <w:tabs>
          <w:tab w:val="left" w:pos="1800"/>
        </w:tabs>
        <w:spacing w:after="0" w:line="240" w:lineRule="auto"/>
        <w:ind w:left="1800" w:hanging="720"/>
        <w:contextualSpacing/>
      </w:pPr>
    </w:p>
    <w:p w14:paraId="0EC7E61D" w14:textId="12E65728" w:rsidR="00B66021" w:rsidRPr="00720B0E" w:rsidRDefault="002834FC" w:rsidP="00610600">
      <w:pPr>
        <w:pStyle w:val="ListParagraph"/>
        <w:numPr>
          <w:ilvl w:val="2"/>
          <w:numId w:val="16"/>
        </w:numPr>
        <w:tabs>
          <w:tab w:val="left" w:pos="1800"/>
        </w:tabs>
        <w:spacing w:after="0" w:line="240" w:lineRule="auto"/>
        <w:ind w:left="1800"/>
      </w:pPr>
      <w:r w:rsidRPr="00720B0E">
        <w:t>As above, a</w:t>
      </w:r>
      <w:r w:rsidR="007D7633" w:rsidRPr="00720B0E">
        <w:t xml:space="preserve">dminister the other half of the volume </w:t>
      </w:r>
      <w:r w:rsidR="00B4789A" w:rsidRPr="00720B0E">
        <w:t>into the other nasal opening</w:t>
      </w:r>
      <w:r w:rsidR="007D7633" w:rsidRPr="00720B0E">
        <w:t>.</w:t>
      </w:r>
    </w:p>
    <w:p w14:paraId="25D3B0CB" w14:textId="77777777" w:rsidR="008B0583" w:rsidRDefault="008B0583" w:rsidP="008B57E3">
      <w:pPr>
        <w:spacing w:after="0" w:line="240" w:lineRule="auto"/>
      </w:pPr>
    </w:p>
    <w:p w14:paraId="2F3EC48A" w14:textId="20722618" w:rsidR="008B57E3" w:rsidRPr="008B57E3" w:rsidRDefault="008B57E3" w:rsidP="008B57E3">
      <w:pPr>
        <w:spacing w:after="0" w:line="240" w:lineRule="auto"/>
        <w:rPr>
          <w:b/>
        </w:rPr>
      </w:pPr>
      <w:r w:rsidRPr="008B57E3">
        <w:rPr>
          <w:b/>
        </w:rPr>
        <w:t xml:space="preserve">Figure 3. </w:t>
      </w:r>
      <w:proofErr w:type="gramStart"/>
      <w:r w:rsidRPr="008B57E3">
        <w:rPr>
          <w:b/>
        </w:rPr>
        <w:t>Intranasal administration in unconscious mice.</w:t>
      </w:r>
      <w:proofErr w:type="gramEnd"/>
      <w:r w:rsidRPr="008B57E3">
        <w:rPr>
          <w:b/>
        </w:rPr>
        <w:t xml:space="preserve"> </w:t>
      </w:r>
    </w:p>
    <w:p w14:paraId="21DFC415" w14:textId="77777777" w:rsidR="008B57E3" w:rsidRPr="00720B0E" w:rsidRDefault="008B57E3" w:rsidP="008B57E3">
      <w:pPr>
        <w:spacing w:after="0" w:line="240" w:lineRule="auto"/>
      </w:pPr>
    </w:p>
    <w:p w14:paraId="45320F72" w14:textId="3906220D" w:rsidR="00356278" w:rsidRPr="00720B0E" w:rsidRDefault="00560B83" w:rsidP="00610600">
      <w:pPr>
        <w:pStyle w:val="ListParagraph"/>
        <w:numPr>
          <w:ilvl w:val="0"/>
          <w:numId w:val="16"/>
        </w:numPr>
        <w:spacing w:after="0" w:line="240" w:lineRule="auto"/>
        <w:ind w:left="180" w:hanging="180"/>
      </w:pPr>
      <w:r w:rsidRPr="00720B0E">
        <w:t xml:space="preserve">  </w:t>
      </w:r>
      <w:r w:rsidR="00201CAB" w:rsidRPr="00720B0E">
        <w:t xml:space="preserve">Intracranial administration in neonatal </w:t>
      </w:r>
      <w:r w:rsidR="00356278" w:rsidRPr="00720B0E">
        <w:t>mice</w:t>
      </w:r>
      <w:r w:rsidR="00201CAB" w:rsidRPr="00720B0E">
        <w:t xml:space="preserve"> and rats</w:t>
      </w:r>
    </w:p>
    <w:p w14:paraId="6104094C" w14:textId="77777777" w:rsidR="005055EA" w:rsidRPr="00720B0E" w:rsidRDefault="005055EA" w:rsidP="00610600">
      <w:pPr>
        <w:spacing w:after="0" w:line="240" w:lineRule="auto"/>
        <w:contextualSpacing/>
      </w:pPr>
    </w:p>
    <w:p w14:paraId="1989E632" w14:textId="77777777" w:rsidR="00DF5BF0" w:rsidRPr="00720B0E" w:rsidRDefault="00DF5BF0" w:rsidP="00610600">
      <w:pPr>
        <w:pStyle w:val="ListParagraph"/>
        <w:numPr>
          <w:ilvl w:val="1"/>
          <w:numId w:val="16"/>
        </w:numPr>
        <w:tabs>
          <w:tab w:val="left" w:pos="1080"/>
        </w:tabs>
        <w:spacing w:after="0" w:line="240" w:lineRule="auto"/>
        <w:ind w:left="1080"/>
        <w:rPr>
          <w:b/>
        </w:rPr>
      </w:pPr>
      <w:r w:rsidRPr="00720B0E">
        <w:t>Mice or rats must be anesthetized for intracranial injections.</w:t>
      </w:r>
    </w:p>
    <w:p w14:paraId="57009159" w14:textId="77777777" w:rsidR="005055EA" w:rsidRPr="00720B0E" w:rsidRDefault="005055EA" w:rsidP="00610600">
      <w:pPr>
        <w:tabs>
          <w:tab w:val="left" w:pos="1080"/>
        </w:tabs>
        <w:spacing w:after="0" w:line="240" w:lineRule="auto"/>
        <w:ind w:left="1080" w:hanging="360"/>
        <w:contextualSpacing/>
        <w:rPr>
          <w:b/>
        </w:rPr>
      </w:pPr>
    </w:p>
    <w:p w14:paraId="2C876EFE" w14:textId="7C3361BA" w:rsidR="00201CAB" w:rsidRPr="00720B0E" w:rsidRDefault="00201CAB" w:rsidP="00610600">
      <w:pPr>
        <w:pStyle w:val="ListParagraph"/>
        <w:numPr>
          <w:ilvl w:val="1"/>
          <w:numId w:val="16"/>
        </w:numPr>
        <w:tabs>
          <w:tab w:val="left" w:pos="1080"/>
        </w:tabs>
        <w:spacing w:after="0" w:line="240" w:lineRule="auto"/>
        <w:ind w:left="1080"/>
        <w:rPr>
          <w:b/>
        </w:rPr>
      </w:pPr>
      <w:r w:rsidRPr="00720B0E">
        <w:t xml:space="preserve">Equipment </w:t>
      </w:r>
    </w:p>
    <w:p w14:paraId="3DB8ACBF" w14:textId="77777777" w:rsidR="004369CA" w:rsidRPr="00720B0E" w:rsidRDefault="004369CA" w:rsidP="00610600">
      <w:pPr>
        <w:spacing w:after="0" w:line="240" w:lineRule="auto"/>
        <w:contextualSpacing/>
        <w:rPr>
          <w:b/>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2115"/>
        <w:gridCol w:w="1935"/>
        <w:gridCol w:w="2115"/>
      </w:tblGrid>
      <w:tr w:rsidR="00583A17" w:rsidRPr="00720B0E" w14:paraId="046AD70F" w14:textId="77777777" w:rsidTr="00825E59">
        <w:tc>
          <w:tcPr>
            <w:tcW w:w="3870" w:type="dxa"/>
            <w:gridSpan w:val="2"/>
            <w:tcBorders>
              <w:top w:val="single" w:sz="18" w:space="0" w:color="auto"/>
              <w:bottom w:val="single" w:sz="4" w:space="0" w:color="auto"/>
            </w:tcBorders>
          </w:tcPr>
          <w:p w14:paraId="56027B52" w14:textId="1E2C19E5" w:rsidR="00583A17" w:rsidRPr="00720B0E" w:rsidRDefault="00583A17" w:rsidP="00610600">
            <w:pPr>
              <w:contextualSpacing/>
              <w:jc w:val="center"/>
              <w:rPr>
                <w:b/>
              </w:rPr>
            </w:pPr>
            <w:r w:rsidRPr="00720B0E">
              <w:rPr>
                <w:b/>
              </w:rPr>
              <w:t>Mouse</w:t>
            </w:r>
          </w:p>
        </w:tc>
        <w:tc>
          <w:tcPr>
            <w:tcW w:w="4050" w:type="dxa"/>
            <w:gridSpan w:val="2"/>
            <w:tcBorders>
              <w:top w:val="single" w:sz="18" w:space="0" w:color="auto"/>
              <w:bottom w:val="single" w:sz="4" w:space="0" w:color="auto"/>
            </w:tcBorders>
          </w:tcPr>
          <w:p w14:paraId="51960C83" w14:textId="05B8B314" w:rsidR="00583A17" w:rsidRPr="00720B0E" w:rsidRDefault="00583A17" w:rsidP="00610600">
            <w:pPr>
              <w:contextualSpacing/>
              <w:jc w:val="center"/>
              <w:rPr>
                <w:b/>
              </w:rPr>
            </w:pPr>
            <w:r w:rsidRPr="00720B0E">
              <w:rPr>
                <w:b/>
              </w:rPr>
              <w:t>Rat</w:t>
            </w:r>
          </w:p>
        </w:tc>
      </w:tr>
      <w:tr w:rsidR="00583A17" w:rsidRPr="00720B0E" w14:paraId="6521D702" w14:textId="77777777" w:rsidTr="0064469D">
        <w:tc>
          <w:tcPr>
            <w:tcW w:w="1755" w:type="dxa"/>
            <w:tcBorders>
              <w:top w:val="single" w:sz="4" w:space="0" w:color="auto"/>
              <w:bottom w:val="single" w:sz="4" w:space="0" w:color="auto"/>
            </w:tcBorders>
          </w:tcPr>
          <w:p w14:paraId="5B3EDF4F" w14:textId="2D27271E" w:rsidR="00583A17" w:rsidRPr="00720B0E" w:rsidRDefault="00583A17" w:rsidP="00610600">
            <w:pPr>
              <w:contextualSpacing/>
              <w:rPr>
                <w:b/>
              </w:rPr>
            </w:pPr>
            <w:r w:rsidRPr="00720B0E">
              <w:rPr>
                <w:b/>
              </w:rPr>
              <w:t>Age (days)</w:t>
            </w:r>
          </w:p>
        </w:tc>
        <w:tc>
          <w:tcPr>
            <w:tcW w:w="2115" w:type="dxa"/>
            <w:tcBorders>
              <w:top w:val="single" w:sz="4" w:space="0" w:color="auto"/>
              <w:bottom w:val="single" w:sz="4" w:space="0" w:color="auto"/>
            </w:tcBorders>
          </w:tcPr>
          <w:p w14:paraId="1609B138" w14:textId="2F9CF06E" w:rsidR="00583A17" w:rsidRPr="00720B0E" w:rsidRDefault="00583A17" w:rsidP="00610600">
            <w:pPr>
              <w:contextualSpacing/>
              <w:rPr>
                <w:b/>
              </w:rPr>
            </w:pPr>
            <w:r w:rsidRPr="00720B0E">
              <w:rPr>
                <w:b/>
              </w:rPr>
              <w:t>Needle gauge (g)</w:t>
            </w:r>
          </w:p>
        </w:tc>
        <w:tc>
          <w:tcPr>
            <w:tcW w:w="1935" w:type="dxa"/>
            <w:tcBorders>
              <w:top w:val="single" w:sz="4" w:space="0" w:color="auto"/>
              <w:bottom w:val="single" w:sz="4" w:space="0" w:color="auto"/>
            </w:tcBorders>
          </w:tcPr>
          <w:p w14:paraId="0CE06AD1" w14:textId="76D9B93B" w:rsidR="00583A17" w:rsidRPr="00720B0E" w:rsidRDefault="00583A17" w:rsidP="00610600">
            <w:pPr>
              <w:contextualSpacing/>
              <w:rPr>
                <w:b/>
              </w:rPr>
            </w:pPr>
            <w:r w:rsidRPr="00720B0E">
              <w:rPr>
                <w:b/>
              </w:rPr>
              <w:t>Age (days)</w:t>
            </w:r>
          </w:p>
        </w:tc>
        <w:tc>
          <w:tcPr>
            <w:tcW w:w="2115" w:type="dxa"/>
            <w:tcBorders>
              <w:top w:val="single" w:sz="4" w:space="0" w:color="auto"/>
              <w:bottom w:val="single" w:sz="4" w:space="0" w:color="auto"/>
            </w:tcBorders>
          </w:tcPr>
          <w:p w14:paraId="186E939E" w14:textId="1DEE25C0" w:rsidR="00583A17" w:rsidRPr="00720B0E" w:rsidRDefault="00583A17" w:rsidP="00610600">
            <w:pPr>
              <w:contextualSpacing/>
              <w:rPr>
                <w:b/>
              </w:rPr>
            </w:pPr>
            <w:r w:rsidRPr="00720B0E">
              <w:rPr>
                <w:b/>
              </w:rPr>
              <w:t>Needle gauge (g)</w:t>
            </w:r>
          </w:p>
        </w:tc>
      </w:tr>
      <w:tr w:rsidR="00583A17" w:rsidRPr="00720B0E" w14:paraId="0F00CEBF" w14:textId="77777777" w:rsidTr="0064469D">
        <w:tc>
          <w:tcPr>
            <w:tcW w:w="1755" w:type="dxa"/>
            <w:tcBorders>
              <w:top w:val="single" w:sz="4" w:space="0" w:color="auto"/>
            </w:tcBorders>
          </w:tcPr>
          <w:p w14:paraId="485F04D3" w14:textId="1C944EBF" w:rsidR="00583A17" w:rsidRPr="00720B0E" w:rsidRDefault="00583A17" w:rsidP="00610600">
            <w:pPr>
              <w:contextualSpacing/>
              <w:rPr>
                <w:b/>
              </w:rPr>
            </w:pPr>
            <w:r w:rsidRPr="00720B0E">
              <w:rPr>
                <w:b/>
              </w:rPr>
              <w:t xml:space="preserve">0-7 </w:t>
            </w:r>
          </w:p>
        </w:tc>
        <w:tc>
          <w:tcPr>
            <w:tcW w:w="2115" w:type="dxa"/>
            <w:tcBorders>
              <w:top w:val="single" w:sz="4" w:space="0" w:color="auto"/>
            </w:tcBorders>
          </w:tcPr>
          <w:p w14:paraId="0048F4BD" w14:textId="7A2601DD" w:rsidR="00583A17" w:rsidRPr="00720B0E" w:rsidRDefault="00583A17" w:rsidP="00610600">
            <w:pPr>
              <w:contextualSpacing/>
              <w:rPr>
                <w:b/>
              </w:rPr>
            </w:pPr>
            <w:r w:rsidRPr="00720B0E">
              <w:rPr>
                <w:b/>
              </w:rPr>
              <w:t>29-30</w:t>
            </w:r>
          </w:p>
        </w:tc>
        <w:tc>
          <w:tcPr>
            <w:tcW w:w="1935" w:type="dxa"/>
            <w:tcBorders>
              <w:top w:val="single" w:sz="4" w:space="0" w:color="auto"/>
            </w:tcBorders>
          </w:tcPr>
          <w:p w14:paraId="09E1A139" w14:textId="0D48F1CC" w:rsidR="00583A17" w:rsidRPr="00720B0E" w:rsidRDefault="00583A17" w:rsidP="00610600">
            <w:pPr>
              <w:contextualSpacing/>
              <w:rPr>
                <w:b/>
              </w:rPr>
            </w:pPr>
            <w:r w:rsidRPr="00720B0E">
              <w:rPr>
                <w:b/>
              </w:rPr>
              <w:t>0-5</w:t>
            </w:r>
          </w:p>
        </w:tc>
        <w:tc>
          <w:tcPr>
            <w:tcW w:w="2115" w:type="dxa"/>
            <w:tcBorders>
              <w:top w:val="single" w:sz="4" w:space="0" w:color="auto"/>
            </w:tcBorders>
          </w:tcPr>
          <w:p w14:paraId="2FF2C1C7" w14:textId="4270D2E3" w:rsidR="00583A17" w:rsidRPr="00720B0E" w:rsidRDefault="00583A17" w:rsidP="00610600">
            <w:pPr>
              <w:contextualSpacing/>
              <w:rPr>
                <w:b/>
              </w:rPr>
            </w:pPr>
            <w:r w:rsidRPr="00720B0E">
              <w:rPr>
                <w:b/>
              </w:rPr>
              <w:t>27-29</w:t>
            </w:r>
          </w:p>
        </w:tc>
      </w:tr>
      <w:tr w:rsidR="00583A17" w:rsidRPr="00720B0E" w14:paraId="1806256A" w14:textId="77777777" w:rsidTr="0064469D">
        <w:tc>
          <w:tcPr>
            <w:tcW w:w="1755" w:type="dxa"/>
          </w:tcPr>
          <w:p w14:paraId="55D3073D" w14:textId="3ED6143F" w:rsidR="00583A17" w:rsidRPr="00720B0E" w:rsidRDefault="00583A17" w:rsidP="00610600">
            <w:pPr>
              <w:contextualSpacing/>
              <w:rPr>
                <w:b/>
              </w:rPr>
            </w:pPr>
            <w:r w:rsidRPr="00720B0E">
              <w:rPr>
                <w:b/>
              </w:rPr>
              <w:t>7-14</w:t>
            </w:r>
          </w:p>
        </w:tc>
        <w:tc>
          <w:tcPr>
            <w:tcW w:w="2115" w:type="dxa"/>
          </w:tcPr>
          <w:p w14:paraId="1BC99990" w14:textId="009DBEBF" w:rsidR="00583A17" w:rsidRPr="00720B0E" w:rsidRDefault="00583A17" w:rsidP="0064469D">
            <w:pPr>
              <w:ind w:right="-108"/>
              <w:contextualSpacing/>
              <w:rPr>
                <w:b/>
              </w:rPr>
            </w:pPr>
            <w:r w:rsidRPr="00720B0E">
              <w:rPr>
                <w:b/>
              </w:rPr>
              <w:t>27</w:t>
            </w:r>
          </w:p>
        </w:tc>
        <w:tc>
          <w:tcPr>
            <w:tcW w:w="1935" w:type="dxa"/>
          </w:tcPr>
          <w:p w14:paraId="2014DA18" w14:textId="7D5715A5" w:rsidR="00583A17" w:rsidRPr="00720B0E" w:rsidRDefault="00583A17" w:rsidP="00610600">
            <w:pPr>
              <w:contextualSpacing/>
              <w:rPr>
                <w:b/>
              </w:rPr>
            </w:pPr>
            <w:r w:rsidRPr="00720B0E">
              <w:rPr>
                <w:b/>
              </w:rPr>
              <w:t>5-10</w:t>
            </w:r>
          </w:p>
        </w:tc>
        <w:tc>
          <w:tcPr>
            <w:tcW w:w="2115" w:type="dxa"/>
          </w:tcPr>
          <w:p w14:paraId="5AFF87B6" w14:textId="6DB9C96A" w:rsidR="00583A17" w:rsidRPr="00720B0E" w:rsidRDefault="00583A17" w:rsidP="00610600">
            <w:pPr>
              <w:contextualSpacing/>
              <w:rPr>
                <w:b/>
              </w:rPr>
            </w:pPr>
            <w:r w:rsidRPr="00720B0E">
              <w:rPr>
                <w:b/>
              </w:rPr>
              <w:t>25-27</w:t>
            </w:r>
          </w:p>
        </w:tc>
      </w:tr>
      <w:tr w:rsidR="00583A17" w:rsidRPr="00720B0E" w14:paraId="29B8130A" w14:textId="77777777" w:rsidTr="0064469D">
        <w:tc>
          <w:tcPr>
            <w:tcW w:w="1755" w:type="dxa"/>
            <w:tcBorders>
              <w:bottom w:val="single" w:sz="18" w:space="0" w:color="auto"/>
            </w:tcBorders>
          </w:tcPr>
          <w:p w14:paraId="17432F8F" w14:textId="15BF3383" w:rsidR="00583A17" w:rsidRPr="00720B0E" w:rsidRDefault="00583A17" w:rsidP="00610600">
            <w:pPr>
              <w:contextualSpacing/>
              <w:rPr>
                <w:b/>
              </w:rPr>
            </w:pPr>
            <w:r w:rsidRPr="00720B0E">
              <w:rPr>
                <w:b/>
              </w:rPr>
              <w:t>14-28</w:t>
            </w:r>
          </w:p>
        </w:tc>
        <w:tc>
          <w:tcPr>
            <w:tcW w:w="2115" w:type="dxa"/>
            <w:tcBorders>
              <w:bottom w:val="single" w:sz="18" w:space="0" w:color="auto"/>
            </w:tcBorders>
          </w:tcPr>
          <w:p w14:paraId="078431F5" w14:textId="6327EA00" w:rsidR="00583A17" w:rsidRPr="00720B0E" w:rsidRDefault="00583A17" w:rsidP="00610600">
            <w:pPr>
              <w:contextualSpacing/>
              <w:rPr>
                <w:b/>
              </w:rPr>
            </w:pPr>
            <w:r w:rsidRPr="00720B0E">
              <w:rPr>
                <w:b/>
              </w:rPr>
              <w:t>25</w:t>
            </w:r>
          </w:p>
        </w:tc>
        <w:tc>
          <w:tcPr>
            <w:tcW w:w="1935" w:type="dxa"/>
            <w:tcBorders>
              <w:bottom w:val="single" w:sz="18" w:space="0" w:color="auto"/>
            </w:tcBorders>
          </w:tcPr>
          <w:p w14:paraId="757D2F89" w14:textId="0B70D282" w:rsidR="00583A17" w:rsidRPr="00720B0E" w:rsidRDefault="00583A17" w:rsidP="00610600">
            <w:pPr>
              <w:contextualSpacing/>
              <w:rPr>
                <w:b/>
              </w:rPr>
            </w:pPr>
            <w:r w:rsidRPr="00720B0E">
              <w:rPr>
                <w:b/>
              </w:rPr>
              <w:t>10-14</w:t>
            </w:r>
          </w:p>
        </w:tc>
        <w:tc>
          <w:tcPr>
            <w:tcW w:w="2115" w:type="dxa"/>
            <w:tcBorders>
              <w:bottom w:val="single" w:sz="18" w:space="0" w:color="auto"/>
            </w:tcBorders>
          </w:tcPr>
          <w:p w14:paraId="5E958910" w14:textId="02488764" w:rsidR="00583A17" w:rsidRPr="00720B0E" w:rsidRDefault="00583A17" w:rsidP="00610600">
            <w:pPr>
              <w:contextualSpacing/>
              <w:rPr>
                <w:b/>
              </w:rPr>
            </w:pPr>
            <w:r w:rsidRPr="00720B0E">
              <w:rPr>
                <w:b/>
              </w:rPr>
              <w:t>25</w:t>
            </w:r>
          </w:p>
        </w:tc>
      </w:tr>
      <w:tr w:rsidR="007F2DC0" w:rsidRPr="00720B0E" w14:paraId="2CD7A7C1" w14:textId="77777777" w:rsidTr="0064469D">
        <w:tc>
          <w:tcPr>
            <w:tcW w:w="1755" w:type="dxa"/>
            <w:tcBorders>
              <w:top w:val="single" w:sz="18" w:space="0" w:color="auto"/>
              <w:bottom w:val="single" w:sz="4" w:space="0" w:color="auto"/>
            </w:tcBorders>
          </w:tcPr>
          <w:p w14:paraId="00F93301" w14:textId="77777777" w:rsidR="007F2DC0" w:rsidRPr="00720B0E" w:rsidRDefault="007F2DC0" w:rsidP="00610600">
            <w:pPr>
              <w:contextualSpacing/>
              <w:rPr>
                <w:b/>
              </w:rPr>
            </w:pPr>
            <w:r w:rsidRPr="00720B0E">
              <w:rPr>
                <w:b/>
              </w:rPr>
              <w:t>Age (days)</w:t>
            </w:r>
          </w:p>
        </w:tc>
        <w:tc>
          <w:tcPr>
            <w:tcW w:w="2115" w:type="dxa"/>
            <w:tcBorders>
              <w:top w:val="single" w:sz="18" w:space="0" w:color="auto"/>
              <w:bottom w:val="single" w:sz="4" w:space="0" w:color="auto"/>
            </w:tcBorders>
          </w:tcPr>
          <w:p w14:paraId="73265094" w14:textId="77777777" w:rsidR="007F2DC0" w:rsidRPr="00720B0E" w:rsidRDefault="007F2DC0" w:rsidP="00610600">
            <w:pPr>
              <w:contextualSpacing/>
              <w:rPr>
                <w:b/>
              </w:rPr>
            </w:pPr>
            <w:r w:rsidRPr="00720B0E">
              <w:rPr>
                <w:b/>
              </w:rPr>
              <w:t>Needle length (mm)</w:t>
            </w:r>
          </w:p>
        </w:tc>
        <w:tc>
          <w:tcPr>
            <w:tcW w:w="1935" w:type="dxa"/>
            <w:tcBorders>
              <w:top w:val="single" w:sz="18" w:space="0" w:color="auto"/>
              <w:bottom w:val="single" w:sz="4" w:space="0" w:color="auto"/>
            </w:tcBorders>
          </w:tcPr>
          <w:p w14:paraId="1FEE25D8" w14:textId="77777777" w:rsidR="007F2DC0" w:rsidRPr="00720B0E" w:rsidRDefault="007F2DC0" w:rsidP="00610600">
            <w:pPr>
              <w:contextualSpacing/>
              <w:rPr>
                <w:b/>
              </w:rPr>
            </w:pPr>
            <w:r w:rsidRPr="00720B0E">
              <w:rPr>
                <w:b/>
              </w:rPr>
              <w:t>Age (days)</w:t>
            </w:r>
          </w:p>
        </w:tc>
        <w:tc>
          <w:tcPr>
            <w:tcW w:w="2115" w:type="dxa"/>
            <w:tcBorders>
              <w:top w:val="single" w:sz="18" w:space="0" w:color="auto"/>
              <w:bottom w:val="single" w:sz="4" w:space="0" w:color="auto"/>
            </w:tcBorders>
          </w:tcPr>
          <w:p w14:paraId="0E2E9A07" w14:textId="77777777" w:rsidR="007F2DC0" w:rsidRPr="00720B0E" w:rsidRDefault="007F2DC0" w:rsidP="00610600">
            <w:pPr>
              <w:contextualSpacing/>
              <w:rPr>
                <w:b/>
              </w:rPr>
            </w:pPr>
            <w:r w:rsidRPr="00720B0E">
              <w:rPr>
                <w:b/>
              </w:rPr>
              <w:t>Needle length (mm)</w:t>
            </w:r>
          </w:p>
        </w:tc>
      </w:tr>
      <w:tr w:rsidR="007F2DC0" w:rsidRPr="00720B0E" w14:paraId="4D73A19A" w14:textId="77777777" w:rsidTr="0064469D">
        <w:tc>
          <w:tcPr>
            <w:tcW w:w="1755" w:type="dxa"/>
            <w:tcBorders>
              <w:top w:val="single" w:sz="4" w:space="0" w:color="auto"/>
            </w:tcBorders>
          </w:tcPr>
          <w:p w14:paraId="684B6D34" w14:textId="77777777" w:rsidR="007F2DC0" w:rsidRPr="00720B0E" w:rsidRDefault="007F2DC0" w:rsidP="00610600">
            <w:pPr>
              <w:contextualSpacing/>
              <w:rPr>
                <w:b/>
              </w:rPr>
            </w:pPr>
            <w:r w:rsidRPr="00720B0E">
              <w:rPr>
                <w:b/>
              </w:rPr>
              <w:t xml:space="preserve">0-7 </w:t>
            </w:r>
          </w:p>
        </w:tc>
        <w:tc>
          <w:tcPr>
            <w:tcW w:w="2115" w:type="dxa"/>
            <w:tcBorders>
              <w:top w:val="single" w:sz="4" w:space="0" w:color="auto"/>
            </w:tcBorders>
          </w:tcPr>
          <w:p w14:paraId="30A958C8" w14:textId="77777777" w:rsidR="007F2DC0" w:rsidRPr="00720B0E" w:rsidRDefault="007F2DC0" w:rsidP="00610600">
            <w:pPr>
              <w:contextualSpacing/>
              <w:rPr>
                <w:b/>
              </w:rPr>
            </w:pPr>
            <w:r w:rsidRPr="00720B0E">
              <w:rPr>
                <w:b/>
              </w:rPr>
              <w:t>2</w:t>
            </w:r>
          </w:p>
        </w:tc>
        <w:tc>
          <w:tcPr>
            <w:tcW w:w="1935" w:type="dxa"/>
            <w:tcBorders>
              <w:top w:val="single" w:sz="4" w:space="0" w:color="auto"/>
            </w:tcBorders>
          </w:tcPr>
          <w:p w14:paraId="6BBFB1EB" w14:textId="77777777" w:rsidR="007F2DC0" w:rsidRPr="00720B0E" w:rsidRDefault="007F2DC0" w:rsidP="00610600">
            <w:pPr>
              <w:contextualSpacing/>
              <w:rPr>
                <w:b/>
              </w:rPr>
            </w:pPr>
            <w:r w:rsidRPr="00720B0E">
              <w:rPr>
                <w:b/>
              </w:rPr>
              <w:t>0-4</w:t>
            </w:r>
          </w:p>
        </w:tc>
        <w:tc>
          <w:tcPr>
            <w:tcW w:w="2115" w:type="dxa"/>
            <w:tcBorders>
              <w:top w:val="single" w:sz="4" w:space="0" w:color="auto"/>
            </w:tcBorders>
          </w:tcPr>
          <w:p w14:paraId="3419663A" w14:textId="77777777" w:rsidR="007F2DC0" w:rsidRPr="00720B0E" w:rsidRDefault="007F2DC0" w:rsidP="00610600">
            <w:pPr>
              <w:contextualSpacing/>
              <w:rPr>
                <w:b/>
              </w:rPr>
            </w:pPr>
            <w:r w:rsidRPr="00720B0E">
              <w:rPr>
                <w:b/>
              </w:rPr>
              <w:t>2-3</w:t>
            </w:r>
          </w:p>
        </w:tc>
      </w:tr>
      <w:tr w:rsidR="007F2DC0" w:rsidRPr="00720B0E" w14:paraId="5B5FF1DC" w14:textId="77777777" w:rsidTr="0064469D">
        <w:tc>
          <w:tcPr>
            <w:tcW w:w="1755" w:type="dxa"/>
          </w:tcPr>
          <w:p w14:paraId="680B6550" w14:textId="77777777" w:rsidR="007F2DC0" w:rsidRPr="00720B0E" w:rsidRDefault="007F2DC0" w:rsidP="00610600">
            <w:pPr>
              <w:contextualSpacing/>
              <w:rPr>
                <w:b/>
              </w:rPr>
            </w:pPr>
            <w:r w:rsidRPr="00720B0E">
              <w:rPr>
                <w:b/>
              </w:rPr>
              <w:t>7-14</w:t>
            </w:r>
          </w:p>
        </w:tc>
        <w:tc>
          <w:tcPr>
            <w:tcW w:w="2115" w:type="dxa"/>
          </w:tcPr>
          <w:p w14:paraId="183A9C23" w14:textId="77777777" w:rsidR="007F2DC0" w:rsidRPr="00720B0E" w:rsidRDefault="007F2DC0" w:rsidP="00610600">
            <w:pPr>
              <w:contextualSpacing/>
              <w:rPr>
                <w:b/>
              </w:rPr>
            </w:pPr>
            <w:r w:rsidRPr="00720B0E">
              <w:rPr>
                <w:b/>
              </w:rPr>
              <w:t>3</w:t>
            </w:r>
          </w:p>
        </w:tc>
        <w:tc>
          <w:tcPr>
            <w:tcW w:w="1935" w:type="dxa"/>
          </w:tcPr>
          <w:p w14:paraId="1B8497AD" w14:textId="77777777" w:rsidR="007F2DC0" w:rsidRPr="00720B0E" w:rsidRDefault="007F2DC0" w:rsidP="00610600">
            <w:pPr>
              <w:contextualSpacing/>
              <w:rPr>
                <w:b/>
              </w:rPr>
            </w:pPr>
            <w:r w:rsidRPr="00720B0E">
              <w:rPr>
                <w:b/>
              </w:rPr>
              <w:t>4-7</w:t>
            </w:r>
          </w:p>
        </w:tc>
        <w:tc>
          <w:tcPr>
            <w:tcW w:w="2115" w:type="dxa"/>
          </w:tcPr>
          <w:p w14:paraId="48BB7AB9" w14:textId="77777777" w:rsidR="007F2DC0" w:rsidRPr="00720B0E" w:rsidRDefault="007F2DC0" w:rsidP="00610600">
            <w:pPr>
              <w:contextualSpacing/>
              <w:rPr>
                <w:b/>
              </w:rPr>
            </w:pPr>
            <w:r w:rsidRPr="00720B0E">
              <w:rPr>
                <w:b/>
              </w:rPr>
              <w:t>3</w:t>
            </w:r>
          </w:p>
        </w:tc>
      </w:tr>
      <w:tr w:rsidR="007F2DC0" w:rsidRPr="00720B0E" w14:paraId="77CE821D" w14:textId="77777777" w:rsidTr="0064469D">
        <w:tc>
          <w:tcPr>
            <w:tcW w:w="1755" w:type="dxa"/>
          </w:tcPr>
          <w:p w14:paraId="0ACE58EC" w14:textId="77777777" w:rsidR="007F2DC0" w:rsidRPr="00720B0E" w:rsidRDefault="007F2DC0" w:rsidP="00610600">
            <w:pPr>
              <w:contextualSpacing/>
              <w:rPr>
                <w:b/>
              </w:rPr>
            </w:pPr>
            <w:r w:rsidRPr="00720B0E">
              <w:rPr>
                <w:b/>
              </w:rPr>
              <w:t>14-21</w:t>
            </w:r>
          </w:p>
        </w:tc>
        <w:tc>
          <w:tcPr>
            <w:tcW w:w="2115" w:type="dxa"/>
          </w:tcPr>
          <w:p w14:paraId="2935FA9A" w14:textId="77777777" w:rsidR="007F2DC0" w:rsidRPr="00720B0E" w:rsidRDefault="007F2DC0" w:rsidP="00610600">
            <w:pPr>
              <w:contextualSpacing/>
              <w:rPr>
                <w:b/>
              </w:rPr>
            </w:pPr>
            <w:r w:rsidRPr="00720B0E">
              <w:rPr>
                <w:b/>
              </w:rPr>
              <w:t>4</w:t>
            </w:r>
          </w:p>
        </w:tc>
        <w:tc>
          <w:tcPr>
            <w:tcW w:w="1935" w:type="dxa"/>
          </w:tcPr>
          <w:p w14:paraId="16DBA783" w14:textId="77777777" w:rsidR="007F2DC0" w:rsidRPr="00720B0E" w:rsidRDefault="007F2DC0" w:rsidP="00610600">
            <w:pPr>
              <w:contextualSpacing/>
              <w:rPr>
                <w:b/>
              </w:rPr>
            </w:pPr>
            <w:r w:rsidRPr="00720B0E">
              <w:rPr>
                <w:b/>
              </w:rPr>
              <w:t>7-10</w:t>
            </w:r>
          </w:p>
        </w:tc>
        <w:tc>
          <w:tcPr>
            <w:tcW w:w="2115" w:type="dxa"/>
          </w:tcPr>
          <w:p w14:paraId="03B5FD99" w14:textId="77777777" w:rsidR="007F2DC0" w:rsidRPr="00720B0E" w:rsidRDefault="007F2DC0" w:rsidP="00610600">
            <w:pPr>
              <w:contextualSpacing/>
              <w:rPr>
                <w:b/>
              </w:rPr>
            </w:pPr>
            <w:r w:rsidRPr="00720B0E">
              <w:rPr>
                <w:b/>
              </w:rPr>
              <w:t>4</w:t>
            </w:r>
          </w:p>
        </w:tc>
      </w:tr>
      <w:tr w:rsidR="007F2DC0" w:rsidRPr="00720B0E" w14:paraId="1FCF14D0" w14:textId="77777777" w:rsidTr="0064469D">
        <w:tc>
          <w:tcPr>
            <w:tcW w:w="1755" w:type="dxa"/>
            <w:tcBorders>
              <w:bottom w:val="single" w:sz="18" w:space="0" w:color="auto"/>
            </w:tcBorders>
          </w:tcPr>
          <w:p w14:paraId="486280D4" w14:textId="77777777" w:rsidR="007F2DC0" w:rsidRPr="00720B0E" w:rsidRDefault="007F2DC0" w:rsidP="00610600">
            <w:pPr>
              <w:contextualSpacing/>
              <w:rPr>
                <w:b/>
              </w:rPr>
            </w:pPr>
            <w:r w:rsidRPr="00720B0E">
              <w:rPr>
                <w:b/>
              </w:rPr>
              <w:t>21-28</w:t>
            </w:r>
          </w:p>
        </w:tc>
        <w:tc>
          <w:tcPr>
            <w:tcW w:w="2115" w:type="dxa"/>
            <w:tcBorders>
              <w:bottom w:val="single" w:sz="18" w:space="0" w:color="auto"/>
            </w:tcBorders>
          </w:tcPr>
          <w:p w14:paraId="05F52D3F" w14:textId="77777777" w:rsidR="007F2DC0" w:rsidRPr="00720B0E" w:rsidRDefault="007F2DC0" w:rsidP="00610600">
            <w:pPr>
              <w:contextualSpacing/>
              <w:rPr>
                <w:b/>
              </w:rPr>
            </w:pPr>
            <w:r w:rsidRPr="00720B0E">
              <w:rPr>
                <w:b/>
              </w:rPr>
              <w:t>5</w:t>
            </w:r>
          </w:p>
        </w:tc>
        <w:tc>
          <w:tcPr>
            <w:tcW w:w="1935" w:type="dxa"/>
            <w:tcBorders>
              <w:bottom w:val="single" w:sz="18" w:space="0" w:color="auto"/>
            </w:tcBorders>
          </w:tcPr>
          <w:p w14:paraId="29D57067" w14:textId="77777777" w:rsidR="007F2DC0" w:rsidRPr="00720B0E" w:rsidRDefault="007F2DC0" w:rsidP="00610600">
            <w:pPr>
              <w:contextualSpacing/>
              <w:rPr>
                <w:b/>
              </w:rPr>
            </w:pPr>
            <w:r w:rsidRPr="00720B0E">
              <w:rPr>
                <w:b/>
              </w:rPr>
              <w:t>10-14</w:t>
            </w:r>
          </w:p>
        </w:tc>
        <w:tc>
          <w:tcPr>
            <w:tcW w:w="2115" w:type="dxa"/>
            <w:tcBorders>
              <w:bottom w:val="single" w:sz="18" w:space="0" w:color="auto"/>
            </w:tcBorders>
          </w:tcPr>
          <w:p w14:paraId="7C45E0D4" w14:textId="77777777" w:rsidR="007F2DC0" w:rsidRPr="00720B0E" w:rsidRDefault="007F2DC0" w:rsidP="00610600">
            <w:pPr>
              <w:contextualSpacing/>
              <w:rPr>
                <w:b/>
              </w:rPr>
            </w:pPr>
            <w:r w:rsidRPr="00720B0E">
              <w:rPr>
                <w:b/>
              </w:rPr>
              <w:t>5</w:t>
            </w:r>
          </w:p>
        </w:tc>
      </w:tr>
      <w:tr w:rsidR="00583A17" w:rsidRPr="00720B0E" w14:paraId="60148536" w14:textId="77777777" w:rsidTr="0064469D">
        <w:tc>
          <w:tcPr>
            <w:tcW w:w="1755" w:type="dxa"/>
            <w:tcBorders>
              <w:top w:val="single" w:sz="18" w:space="0" w:color="auto"/>
              <w:bottom w:val="single" w:sz="4" w:space="0" w:color="auto"/>
            </w:tcBorders>
          </w:tcPr>
          <w:p w14:paraId="1387E135" w14:textId="77777777" w:rsidR="00583A17" w:rsidRPr="00720B0E" w:rsidRDefault="00583A17" w:rsidP="00610600">
            <w:pPr>
              <w:contextualSpacing/>
              <w:rPr>
                <w:b/>
              </w:rPr>
            </w:pPr>
            <w:r w:rsidRPr="00720B0E">
              <w:rPr>
                <w:b/>
              </w:rPr>
              <w:t>Age (days)</w:t>
            </w:r>
          </w:p>
        </w:tc>
        <w:tc>
          <w:tcPr>
            <w:tcW w:w="2115" w:type="dxa"/>
            <w:tcBorders>
              <w:top w:val="single" w:sz="18" w:space="0" w:color="auto"/>
              <w:bottom w:val="single" w:sz="4" w:space="0" w:color="auto"/>
            </w:tcBorders>
          </w:tcPr>
          <w:p w14:paraId="5ED770DD" w14:textId="11FD4FFB" w:rsidR="00583A17" w:rsidRPr="00720B0E" w:rsidRDefault="00583A17" w:rsidP="00610600">
            <w:pPr>
              <w:contextualSpacing/>
              <w:rPr>
                <w:b/>
              </w:rPr>
            </w:pPr>
            <w:r w:rsidRPr="00720B0E">
              <w:rPr>
                <w:b/>
              </w:rPr>
              <w:t>Volume (µL)</w:t>
            </w:r>
          </w:p>
        </w:tc>
        <w:tc>
          <w:tcPr>
            <w:tcW w:w="1935" w:type="dxa"/>
            <w:tcBorders>
              <w:top w:val="single" w:sz="18" w:space="0" w:color="auto"/>
              <w:bottom w:val="single" w:sz="4" w:space="0" w:color="auto"/>
            </w:tcBorders>
          </w:tcPr>
          <w:p w14:paraId="0A11BA7C" w14:textId="77777777" w:rsidR="00583A17" w:rsidRPr="00720B0E" w:rsidRDefault="00583A17" w:rsidP="00610600">
            <w:pPr>
              <w:contextualSpacing/>
              <w:rPr>
                <w:b/>
              </w:rPr>
            </w:pPr>
            <w:r w:rsidRPr="00720B0E">
              <w:rPr>
                <w:b/>
              </w:rPr>
              <w:t>Age (days)</w:t>
            </w:r>
          </w:p>
        </w:tc>
        <w:tc>
          <w:tcPr>
            <w:tcW w:w="2115" w:type="dxa"/>
            <w:tcBorders>
              <w:top w:val="single" w:sz="18" w:space="0" w:color="auto"/>
              <w:bottom w:val="single" w:sz="4" w:space="0" w:color="auto"/>
            </w:tcBorders>
          </w:tcPr>
          <w:p w14:paraId="652BE59C" w14:textId="5D092795" w:rsidR="00583A17" w:rsidRPr="00720B0E" w:rsidRDefault="00583A17" w:rsidP="00610600">
            <w:pPr>
              <w:contextualSpacing/>
              <w:rPr>
                <w:b/>
              </w:rPr>
            </w:pPr>
            <w:r w:rsidRPr="00720B0E">
              <w:rPr>
                <w:b/>
              </w:rPr>
              <w:t>Volume (µL)</w:t>
            </w:r>
          </w:p>
        </w:tc>
      </w:tr>
      <w:tr w:rsidR="00583A17" w:rsidRPr="00720B0E" w14:paraId="26455631" w14:textId="77777777" w:rsidTr="0064469D">
        <w:tc>
          <w:tcPr>
            <w:tcW w:w="1755" w:type="dxa"/>
            <w:tcBorders>
              <w:top w:val="single" w:sz="4" w:space="0" w:color="auto"/>
            </w:tcBorders>
          </w:tcPr>
          <w:p w14:paraId="0E4745E8" w14:textId="1A146C11" w:rsidR="00583A17" w:rsidRPr="00720B0E" w:rsidRDefault="00583A17" w:rsidP="00610600">
            <w:pPr>
              <w:contextualSpacing/>
              <w:rPr>
                <w:b/>
              </w:rPr>
            </w:pPr>
            <w:r w:rsidRPr="00720B0E">
              <w:rPr>
                <w:b/>
              </w:rPr>
              <w:t>0-5</w:t>
            </w:r>
          </w:p>
        </w:tc>
        <w:tc>
          <w:tcPr>
            <w:tcW w:w="2115" w:type="dxa"/>
            <w:tcBorders>
              <w:top w:val="single" w:sz="4" w:space="0" w:color="auto"/>
            </w:tcBorders>
          </w:tcPr>
          <w:p w14:paraId="5F518E3A" w14:textId="54DCE6B1" w:rsidR="00583A17" w:rsidRPr="00720B0E" w:rsidRDefault="00583A17" w:rsidP="00610600">
            <w:pPr>
              <w:contextualSpacing/>
              <w:rPr>
                <w:b/>
              </w:rPr>
            </w:pPr>
            <w:r w:rsidRPr="00720B0E">
              <w:rPr>
                <w:b/>
              </w:rPr>
              <w:t>&lt;20</w:t>
            </w:r>
          </w:p>
        </w:tc>
        <w:tc>
          <w:tcPr>
            <w:tcW w:w="1935" w:type="dxa"/>
            <w:tcBorders>
              <w:top w:val="single" w:sz="4" w:space="0" w:color="auto"/>
            </w:tcBorders>
          </w:tcPr>
          <w:p w14:paraId="56CA22B5" w14:textId="4CF749E1" w:rsidR="00583A17" w:rsidRPr="00720B0E" w:rsidRDefault="00583A17" w:rsidP="00610600">
            <w:pPr>
              <w:contextualSpacing/>
              <w:rPr>
                <w:b/>
              </w:rPr>
            </w:pPr>
            <w:r w:rsidRPr="00720B0E">
              <w:rPr>
                <w:b/>
              </w:rPr>
              <w:t>1-3</w:t>
            </w:r>
          </w:p>
        </w:tc>
        <w:tc>
          <w:tcPr>
            <w:tcW w:w="2115" w:type="dxa"/>
            <w:tcBorders>
              <w:top w:val="single" w:sz="4" w:space="0" w:color="auto"/>
            </w:tcBorders>
          </w:tcPr>
          <w:p w14:paraId="23A25937" w14:textId="5DD158B5" w:rsidR="00583A17" w:rsidRPr="00720B0E" w:rsidRDefault="00583A17" w:rsidP="00610600">
            <w:pPr>
              <w:contextualSpacing/>
              <w:rPr>
                <w:b/>
              </w:rPr>
            </w:pPr>
            <w:r w:rsidRPr="00720B0E">
              <w:rPr>
                <w:b/>
              </w:rPr>
              <w:t>&lt;20</w:t>
            </w:r>
          </w:p>
        </w:tc>
      </w:tr>
      <w:tr w:rsidR="00583A17" w:rsidRPr="00720B0E" w14:paraId="27A4FDC0" w14:textId="77777777" w:rsidTr="0064469D">
        <w:tc>
          <w:tcPr>
            <w:tcW w:w="1755" w:type="dxa"/>
          </w:tcPr>
          <w:p w14:paraId="4D086D04" w14:textId="2476AEE1" w:rsidR="00583A17" w:rsidRPr="00720B0E" w:rsidRDefault="00583A17" w:rsidP="00610600">
            <w:pPr>
              <w:contextualSpacing/>
              <w:rPr>
                <w:b/>
              </w:rPr>
            </w:pPr>
            <w:r w:rsidRPr="00720B0E">
              <w:rPr>
                <w:b/>
              </w:rPr>
              <w:t>6-20</w:t>
            </w:r>
          </w:p>
        </w:tc>
        <w:tc>
          <w:tcPr>
            <w:tcW w:w="2115" w:type="dxa"/>
          </w:tcPr>
          <w:p w14:paraId="574B1CC6" w14:textId="7E9E1BAA" w:rsidR="00583A17" w:rsidRPr="00720B0E" w:rsidRDefault="00583A17" w:rsidP="00610600">
            <w:pPr>
              <w:contextualSpacing/>
              <w:rPr>
                <w:b/>
              </w:rPr>
            </w:pPr>
            <w:r w:rsidRPr="00720B0E">
              <w:rPr>
                <w:b/>
              </w:rPr>
              <w:t>&lt;60</w:t>
            </w:r>
          </w:p>
        </w:tc>
        <w:tc>
          <w:tcPr>
            <w:tcW w:w="1935" w:type="dxa"/>
          </w:tcPr>
          <w:p w14:paraId="779BCE77" w14:textId="6EE1C572" w:rsidR="00583A17" w:rsidRPr="00720B0E" w:rsidRDefault="00583A17" w:rsidP="00610600">
            <w:pPr>
              <w:contextualSpacing/>
              <w:rPr>
                <w:b/>
              </w:rPr>
            </w:pPr>
            <w:r w:rsidRPr="00720B0E">
              <w:rPr>
                <w:b/>
              </w:rPr>
              <w:t>4-10</w:t>
            </w:r>
          </w:p>
        </w:tc>
        <w:tc>
          <w:tcPr>
            <w:tcW w:w="2115" w:type="dxa"/>
          </w:tcPr>
          <w:p w14:paraId="2F4C92B5" w14:textId="252F89C9" w:rsidR="00583A17" w:rsidRPr="00720B0E" w:rsidRDefault="00583A17" w:rsidP="00610600">
            <w:pPr>
              <w:contextualSpacing/>
              <w:rPr>
                <w:b/>
              </w:rPr>
            </w:pPr>
            <w:r w:rsidRPr="00720B0E">
              <w:rPr>
                <w:b/>
              </w:rPr>
              <w:t>&lt;60</w:t>
            </w:r>
          </w:p>
        </w:tc>
      </w:tr>
      <w:tr w:rsidR="00583A17" w:rsidRPr="00720B0E" w14:paraId="2831EFEA" w14:textId="77777777" w:rsidTr="00825E59">
        <w:tc>
          <w:tcPr>
            <w:tcW w:w="1755" w:type="dxa"/>
            <w:tcBorders>
              <w:bottom w:val="single" w:sz="18" w:space="0" w:color="auto"/>
            </w:tcBorders>
          </w:tcPr>
          <w:p w14:paraId="7FA779F9" w14:textId="2179D73B" w:rsidR="00583A17" w:rsidRPr="00720B0E" w:rsidRDefault="00583A17" w:rsidP="00610600">
            <w:pPr>
              <w:contextualSpacing/>
              <w:rPr>
                <w:b/>
              </w:rPr>
            </w:pPr>
            <w:r w:rsidRPr="00720B0E">
              <w:rPr>
                <w:b/>
              </w:rPr>
              <w:t>20-28</w:t>
            </w:r>
          </w:p>
        </w:tc>
        <w:tc>
          <w:tcPr>
            <w:tcW w:w="2115" w:type="dxa"/>
            <w:tcBorders>
              <w:bottom w:val="single" w:sz="18" w:space="0" w:color="auto"/>
            </w:tcBorders>
          </w:tcPr>
          <w:p w14:paraId="56FF53BF" w14:textId="03A32BAE" w:rsidR="00583A17" w:rsidRPr="00720B0E" w:rsidRDefault="00583A17" w:rsidP="00610600">
            <w:pPr>
              <w:contextualSpacing/>
              <w:rPr>
                <w:b/>
              </w:rPr>
            </w:pPr>
            <w:r w:rsidRPr="00720B0E">
              <w:rPr>
                <w:b/>
              </w:rPr>
              <w:t>&lt;100</w:t>
            </w:r>
          </w:p>
        </w:tc>
        <w:tc>
          <w:tcPr>
            <w:tcW w:w="1935" w:type="dxa"/>
            <w:tcBorders>
              <w:bottom w:val="single" w:sz="18" w:space="0" w:color="auto"/>
            </w:tcBorders>
          </w:tcPr>
          <w:p w14:paraId="1C3C9DD5" w14:textId="587C7BD9" w:rsidR="00583A17" w:rsidRPr="00720B0E" w:rsidRDefault="00583A17" w:rsidP="00610600">
            <w:pPr>
              <w:contextualSpacing/>
              <w:rPr>
                <w:b/>
              </w:rPr>
            </w:pPr>
            <w:r w:rsidRPr="00720B0E">
              <w:rPr>
                <w:b/>
              </w:rPr>
              <w:t>11-14</w:t>
            </w:r>
          </w:p>
        </w:tc>
        <w:tc>
          <w:tcPr>
            <w:tcW w:w="2115" w:type="dxa"/>
            <w:tcBorders>
              <w:bottom w:val="single" w:sz="18" w:space="0" w:color="auto"/>
            </w:tcBorders>
          </w:tcPr>
          <w:p w14:paraId="5C7FA6E1" w14:textId="5D99E037" w:rsidR="00583A17" w:rsidRPr="00720B0E" w:rsidRDefault="00583A17" w:rsidP="00610600">
            <w:pPr>
              <w:contextualSpacing/>
              <w:rPr>
                <w:b/>
              </w:rPr>
            </w:pPr>
            <w:r w:rsidRPr="00720B0E">
              <w:rPr>
                <w:b/>
              </w:rPr>
              <w:t>&lt;100</w:t>
            </w:r>
          </w:p>
        </w:tc>
      </w:tr>
    </w:tbl>
    <w:p w14:paraId="1D00DD90" w14:textId="77777777" w:rsidR="00583A17" w:rsidRDefault="00583A17" w:rsidP="00610600">
      <w:pPr>
        <w:spacing w:after="0" w:line="240" w:lineRule="auto"/>
        <w:contextualSpacing/>
        <w:rPr>
          <w:b/>
        </w:rPr>
      </w:pPr>
    </w:p>
    <w:p w14:paraId="7447493E" w14:textId="0B929AEF" w:rsidR="00CF5C20" w:rsidRDefault="00CF5C20" w:rsidP="00610600">
      <w:pPr>
        <w:spacing w:after="0" w:line="240" w:lineRule="auto"/>
        <w:contextualSpacing/>
        <w:rPr>
          <w:b/>
        </w:rPr>
      </w:pPr>
      <w:r>
        <w:rPr>
          <w:b/>
        </w:rPr>
        <w:t xml:space="preserve">Table 1. Needle gauge, needle length and maximum volume of intracranial administration as per the age of mice and rats.  </w:t>
      </w:r>
    </w:p>
    <w:p w14:paraId="0D3301A8" w14:textId="77777777" w:rsidR="00CF5C20" w:rsidRPr="00720B0E" w:rsidRDefault="00CF5C20" w:rsidP="00610600">
      <w:pPr>
        <w:spacing w:after="0" w:line="240" w:lineRule="auto"/>
        <w:contextualSpacing/>
        <w:rPr>
          <w:b/>
        </w:rPr>
      </w:pPr>
    </w:p>
    <w:p w14:paraId="18DCE5C5" w14:textId="46D24F24" w:rsidR="00CF5C20" w:rsidRPr="00CF5C20" w:rsidRDefault="00B4789A" w:rsidP="00610600">
      <w:pPr>
        <w:pStyle w:val="ListParagraph"/>
        <w:numPr>
          <w:ilvl w:val="2"/>
          <w:numId w:val="16"/>
        </w:numPr>
        <w:spacing w:after="0" w:line="240" w:lineRule="auto"/>
        <w:ind w:left="1800"/>
        <w:rPr>
          <w:b/>
        </w:rPr>
      </w:pPr>
      <w:r w:rsidRPr="00720B0E">
        <w:t>Determine t</w:t>
      </w:r>
      <w:r w:rsidR="00356278" w:rsidRPr="00720B0E">
        <w:t>he correct needle</w:t>
      </w:r>
      <w:r w:rsidR="002834FC" w:rsidRPr="00720B0E">
        <w:t xml:space="preserve"> </w:t>
      </w:r>
      <w:r w:rsidR="00CF5C20">
        <w:t xml:space="preserve">gauge and maximum volume of administration as per </w:t>
      </w:r>
      <w:r w:rsidR="00CF5C20" w:rsidRPr="00CF5C20">
        <w:rPr>
          <w:b/>
        </w:rPr>
        <w:t>Table 1</w:t>
      </w:r>
      <w:r w:rsidR="002834FC" w:rsidRPr="00720B0E">
        <w:t>.</w:t>
      </w:r>
      <w:r w:rsidR="00DF5BF0" w:rsidRPr="00720B0E">
        <w:t xml:space="preserve"> </w:t>
      </w:r>
    </w:p>
    <w:p w14:paraId="33E033B8" w14:textId="77777777" w:rsidR="00CF5C20" w:rsidRPr="00CF5C20" w:rsidRDefault="00CF5C20" w:rsidP="00CF5C20">
      <w:pPr>
        <w:pStyle w:val="ListParagraph"/>
        <w:spacing w:after="0" w:line="240" w:lineRule="auto"/>
        <w:ind w:left="1800"/>
        <w:rPr>
          <w:b/>
        </w:rPr>
      </w:pPr>
    </w:p>
    <w:p w14:paraId="229FC4CE" w14:textId="6AACB110" w:rsidR="005A281B" w:rsidRPr="00720B0E" w:rsidRDefault="00B4789A" w:rsidP="00610600">
      <w:pPr>
        <w:pStyle w:val="ListParagraph"/>
        <w:numPr>
          <w:ilvl w:val="2"/>
          <w:numId w:val="16"/>
        </w:numPr>
        <w:spacing w:after="0" w:line="240" w:lineRule="auto"/>
        <w:ind w:left="1890" w:hanging="810"/>
        <w:rPr>
          <w:b/>
        </w:rPr>
      </w:pPr>
      <w:r w:rsidRPr="00720B0E">
        <w:t>Prepare a</w:t>
      </w:r>
      <w:r w:rsidR="00356278" w:rsidRPr="00720B0E">
        <w:t xml:space="preserve"> needle guard pri</w:t>
      </w:r>
      <w:r w:rsidR="005A281B" w:rsidRPr="00720B0E">
        <w:t>or to anesthetizing the animal</w:t>
      </w:r>
      <w:r w:rsidR="00800EC7" w:rsidRPr="00720B0E">
        <w:t>.</w:t>
      </w:r>
    </w:p>
    <w:p w14:paraId="6FFF2D32" w14:textId="77777777" w:rsidR="00B94D26" w:rsidRPr="00720B0E" w:rsidRDefault="00B94D26" w:rsidP="00610600">
      <w:pPr>
        <w:spacing w:after="0" w:line="240" w:lineRule="auto"/>
        <w:contextualSpacing/>
        <w:rPr>
          <w:b/>
        </w:rPr>
      </w:pPr>
    </w:p>
    <w:p w14:paraId="62CB8E30" w14:textId="755F9C61" w:rsidR="005A281B" w:rsidRPr="00720B0E" w:rsidRDefault="00B94D26" w:rsidP="00610600">
      <w:pPr>
        <w:spacing w:after="0" w:line="240" w:lineRule="auto"/>
        <w:ind w:left="1890"/>
        <w:contextualSpacing/>
      </w:pPr>
      <w:r w:rsidRPr="00720B0E">
        <w:t xml:space="preserve">NOTE: </w:t>
      </w:r>
      <w:r w:rsidR="00DF5BF0" w:rsidRPr="00720B0E">
        <w:t xml:space="preserve">The injection depth of the needle is controlled through the use of a guard that is created with the needle cap. </w:t>
      </w:r>
    </w:p>
    <w:p w14:paraId="76C6C5D9" w14:textId="77777777" w:rsidR="00B94D26" w:rsidRPr="00720B0E" w:rsidRDefault="00B94D26" w:rsidP="00610600">
      <w:pPr>
        <w:spacing w:after="0" w:line="240" w:lineRule="auto"/>
        <w:ind w:left="1890"/>
        <w:contextualSpacing/>
      </w:pPr>
    </w:p>
    <w:p w14:paraId="01471EB8" w14:textId="0BC7EA0C" w:rsidR="005A281B" w:rsidRPr="00720B0E" w:rsidRDefault="00DF5BF0" w:rsidP="00610600">
      <w:pPr>
        <w:pStyle w:val="ListParagraph"/>
        <w:numPr>
          <w:ilvl w:val="3"/>
          <w:numId w:val="16"/>
        </w:numPr>
        <w:spacing w:after="0" w:line="240" w:lineRule="auto"/>
        <w:ind w:left="2880"/>
      </w:pPr>
      <w:r w:rsidRPr="00720B0E">
        <w:t xml:space="preserve">To create the guard, </w:t>
      </w:r>
      <w:r w:rsidR="00800EC7" w:rsidRPr="00720B0E">
        <w:t xml:space="preserve">a </w:t>
      </w:r>
      <w:r w:rsidRPr="00720B0E">
        <w:t>needle is measured against the needle cap</w:t>
      </w:r>
      <w:r w:rsidR="00800EC7" w:rsidRPr="00720B0E">
        <w:t>,</w:t>
      </w:r>
      <w:r w:rsidRPr="00720B0E">
        <w:t xml:space="preserve"> and a mark is placed on the cap to indicate where to cut</w:t>
      </w:r>
      <w:r w:rsidR="006C05F3" w:rsidRPr="00720B0E">
        <w:t xml:space="preserve">. The cut should be made </w:t>
      </w:r>
      <w:r w:rsidRPr="00720B0E">
        <w:t xml:space="preserve">so that 2 to 5 mm of the needle </w:t>
      </w:r>
      <w:proofErr w:type="gramStart"/>
      <w:r w:rsidR="006C05F3" w:rsidRPr="00720B0E">
        <w:t>are</w:t>
      </w:r>
      <w:proofErr w:type="gramEnd"/>
      <w:r w:rsidRPr="00720B0E">
        <w:t xml:space="preserve"> exposed when the cap is replaced on the needle. </w:t>
      </w:r>
    </w:p>
    <w:p w14:paraId="42A10B2B" w14:textId="77777777" w:rsidR="00B94D26" w:rsidRPr="00720B0E" w:rsidRDefault="00B94D26" w:rsidP="00610600">
      <w:pPr>
        <w:pStyle w:val="ListParagraph"/>
        <w:spacing w:after="0" w:line="240" w:lineRule="auto"/>
        <w:ind w:left="2880"/>
      </w:pPr>
    </w:p>
    <w:p w14:paraId="53B144F2" w14:textId="0F6A7E64" w:rsidR="005A281B" w:rsidRPr="00720B0E" w:rsidRDefault="00DF5BF0" w:rsidP="00610600">
      <w:pPr>
        <w:pStyle w:val="ListParagraph"/>
        <w:numPr>
          <w:ilvl w:val="3"/>
          <w:numId w:val="16"/>
        </w:numPr>
        <w:spacing w:after="0" w:line="240" w:lineRule="auto"/>
        <w:ind w:left="2880"/>
      </w:pPr>
      <w:r w:rsidRPr="00720B0E">
        <w:t xml:space="preserve">The length of the exposed needle must be long enough to penetrate </w:t>
      </w:r>
      <w:r w:rsidR="0074206D" w:rsidRPr="00720B0E">
        <w:t xml:space="preserve">the </w:t>
      </w:r>
      <w:r w:rsidRPr="00720B0E">
        <w:t>skin and skull</w:t>
      </w:r>
      <w:r w:rsidR="0074206D" w:rsidRPr="00720B0E">
        <w:t>,</w:t>
      </w:r>
      <w:r w:rsidRPr="00720B0E">
        <w:t xml:space="preserve"> and reach the desired depth in the brain. </w:t>
      </w:r>
    </w:p>
    <w:p w14:paraId="37365BD8" w14:textId="77777777" w:rsidR="00B94D26" w:rsidRPr="00720B0E" w:rsidRDefault="00B94D26" w:rsidP="00610600">
      <w:pPr>
        <w:spacing w:after="0" w:line="240" w:lineRule="auto"/>
        <w:contextualSpacing/>
      </w:pPr>
    </w:p>
    <w:p w14:paraId="12AA4E76" w14:textId="45722961" w:rsidR="00B94D26" w:rsidRDefault="00DF5BF0" w:rsidP="00CF5C20">
      <w:pPr>
        <w:pStyle w:val="ListParagraph"/>
        <w:numPr>
          <w:ilvl w:val="3"/>
          <w:numId w:val="16"/>
        </w:numPr>
        <w:spacing w:after="0" w:line="240" w:lineRule="auto"/>
        <w:ind w:left="2880"/>
      </w:pPr>
      <w:r w:rsidRPr="00720B0E">
        <w:t xml:space="preserve">The needle lengths needed for mice </w:t>
      </w:r>
      <w:r w:rsidR="00CF5C20">
        <w:t xml:space="preserve">and rats are listed in </w:t>
      </w:r>
      <w:r w:rsidR="00CF5C20" w:rsidRPr="00CF5C20">
        <w:rPr>
          <w:b/>
        </w:rPr>
        <w:t>Table 1</w:t>
      </w:r>
      <w:r w:rsidR="00CF5C20">
        <w:t xml:space="preserve">. </w:t>
      </w:r>
    </w:p>
    <w:p w14:paraId="6B625003" w14:textId="77777777" w:rsidR="00CF5C20" w:rsidRDefault="00CF5C20" w:rsidP="00CF5C20">
      <w:pPr>
        <w:spacing w:after="0" w:line="240" w:lineRule="auto"/>
      </w:pPr>
    </w:p>
    <w:p w14:paraId="31D53157" w14:textId="77777777" w:rsidR="00356278" w:rsidRPr="00720B0E" w:rsidRDefault="00356278" w:rsidP="00610600">
      <w:pPr>
        <w:pStyle w:val="ListParagraph"/>
        <w:numPr>
          <w:ilvl w:val="2"/>
          <w:numId w:val="16"/>
        </w:numPr>
        <w:spacing w:after="0" w:line="240" w:lineRule="auto"/>
        <w:ind w:left="1800"/>
      </w:pPr>
      <w:r w:rsidRPr="00720B0E">
        <w:t>A heating source is required to p</w:t>
      </w:r>
      <w:r w:rsidR="00B4789A" w:rsidRPr="00720B0E">
        <w:t>revent hypothermia in the pups.</w:t>
      </w:r>
      <w:r w:rsidRPr="00720B0E">
        <w:t xml:space="preserve"> </w:t>
      </w:r>
      <w:r w:rsidR="00F40159" w:rsidRPr="00720B0E">
        <w:t>There are several types:</w:t>
      </w:r>
      <w:r w:rsidRPr="00720B0E">
        <w:t xml:space="preserve"> an electric heating pad set on low, a circulating water blanket</w:t>
      </w:r>
      <w:r w:rsidR="00B4789A" w:rsidRPr="00720B0E">
        <w:t>,</w:t>
      </w:r>
      <w:r w:rsidRPr="00720B0E">
        <w:t xml:space="preserve"> or a reusable chemical reaction heat pouch.</w:t>
      </w:r>
      <w:r w:rsidR="00B4789A" w:rsidRPr="00720B0E">
        <w:br/>
      </w:r>
    </w:p>
    <w:p w14:paraId="5AD2B17E" w14:textId="5FF8A8BF" w:rsidR="00356278" w:rsidRPr="00720B0E" w:rsidRDefault="0011598E" w:rsidP="00610600">
      <w:pPr>
        <w:pStyle w:val="ListParagraph"/>
        <w:numPr>
          <w:ilvl w:val="1"/>
          <w:numId w:val="16"/>
        </w:numPr>
        <w:spacing w:after="0" w:line="240" w:lineRule="auto"/>
        <w:ind w:left="1080"/>
      </w:pPr>
      <w:r w:rsidRPr="00720B0E">
        <w:t xml:space="preserve">  </w:t>
      </w:r>
      <w:r w:rsidR="00356278" w:rsidRPr="00720B0E">
        <w:t>Restraint</w:t>
      </w:r>
      <w:r w:rsidR="00B4789A" w:rsidRPr="00720B0E">
        <w:br/>
      </w:r>
    </w:p>
    <w:p w14:paraId="3FF94F73" w14:textId="77777777" w:rsidR="00DF5BF0" w:rsidRPr="00720B0E" w:rsidRDefault="00356278" w:rsidP="00610600">
      <w:pPr>
        <w:pStyle w:val="ListParagraph"/>
        <w:numPr>
          <w:ilvl w:val="2"/>
          <w:numId w:val="16"/>
        </w:numPr>
        <w:tabs>
          <w:tab w:val="left" w:pos="1800"/>
        </w:tabs>
        <w:spacing w:after="0" w:line="240" w:lineRule="auto"/>
        <w:ind w:left="1800"/>
      </w:pPr>
      <w:r w:rsidRPr="00720B0E">
        <w:t xml:space="preserve">Mouse and rat pups 10 days of age or younger do not require anesthesia for this procedure. </w:t>
      </w:r>
      <w:r w:rsidR="00B4789A" w:rsidRPr="00720B0E">
        <w:t>R</w:t>
      </w:r>
      <w:r w:rsidRPr="00720B0E">
        <w:t>estrain</w:t>
      </w:r>
      <w:r w:rsidR="00B4789A" w:rsidRPr="00720B0E">
        <w:t xml:space="preserve"> them</w:t>
      </w:r>
      <w:r w:rsidRPr="00720B0E">
        <w:t xml:space="preserve"> manually by holding</w:t>
      </w:r>
      <w:r w:rsidR="00B4789A" w:rsidRPr="00720B0E">
        <w:t xml:space="preserve"> them</w:t>
      </w:r>
      <w:r w:rsidRPr="00720B0E">
        <w:t xml:space="preserve"> just behind the head and pulling the skin caudally to put slight pressure over the </w:t>
      </w:r>
      <w:r w:rsidR="00DF5BF0" w:rsidRPr="00720B0E">
        <w:t>shoulders.</w:t>
      </w:r>
    </w:p>
    <w:p w14:paraId="6B6FD8C3" w14:textId="77777777" w:rsidR="00E85426" w:rsidRPr="00720B0E" w:rsidRDefault="00E85426" w:rsidP="00610600">
      <w:pPr>
        <w:pStyle w:val="ListParagraph"/>
        <w:tabs>
          <w:tab w:val="left" w:pos="1800"/>
        </w:tabs>
        <w:spacing w:after="0" w:line="240" w:lineRule="auto"/>
        <w:ind w:left="1800"/>
      </w:pPr>
    </w:p>
    <w:p w14:paraId="186D0ADB" w14:textId="63E77FD2" w:rsidR="00356278" w:rsidRPr="00720B0E" w:rsidRDefault="00B4789A" w:rsidP="00610600">
      <w:pPr>
        <w:pStyle w:val="ListParagraph"/>
        <w:numPr>
          <w:ilvl w:val="2"/>
          <w:numId w:val="16"/>
        </w:numPr>
        <w:spacing w:after="0" w:line="240" w:lineRule="auto"/>
        <w:ind w:left="1800"/>
      </w:pPr>
      <w:r w:rsidRPr="00720B0E">
        <w:t>Anesthetize p</w:t>
      </w:r>
      <w:r w:rsidR="00356278" w:rsidRPr="00720B0E">
        <w:t>ups over 10 days of age with isoflurane inhalation. A</w:t>
      </w:r>
      <w:r w:rsidRPr="00720B0E">
        <w:t>ttach a</w:t>
      </w:r>
      <w:r w:rsidR="00356278" w:rsidRPr="00720B0E">
        <w:t>n induction chamber to a precision vaporizer or a bell jar with a cotton ball soaked with isoflurane</w:t>
      </w:r>
      <w:r w:rsidR="005A04E5" w:rsidRPr="00720B0E">
        <w:t xml:space="preserve">. Once the pup is immobilized, the anesthesia is </w:t>
      </w:r>
      <w:r w:rsidR="00356278" w:rsidRPr="00720B0E">
        <w:t>effective for about 40 seconds</w:t>
      </w:r>
      <w:r w:rsidR="00B85616" w:rsidRPr="00720B0E">
        <w:t>,</w:t>
      </w:r>
      <w:r w:rsidR="00356278" w:rsidRPr="00720B0E">
        <w:t xml:space="preserve"> which provides ample time for the injection.</w:t>
      </w:r>
      <w:r w:rsidRPr="00720B0E">
        <w:br/>
      </w:r>
    </w:p>
    <w:p w14:paraId="2A4620AB" w14:textId="77777777" w:rsidR="005A04E5" w:rsidRPr="00720B0E" w:rsidRDefault="005A04E5" w:rsidP="00610600">
      <w:pPr>
        <w:pStyle w:val="ListParagraph"/>
        <w:numPr>
          <w:ilvl w:val="1"/>
          <w:numId w:val="16"/>
        </w:numPr>
        <w:spacing w:after="0" w:line="240" w:lineRule="auto"/>
        <w:ind w:left="900" w:hanging="540"/>
      </w:pPr>
      <w:r w:rsidRPr="00720B0E">
        <w:t>Injection technique</w:t>
      </w:r>
      <w:r w:rsidR="00B4789A" w:rsidRPr="00720B0E">
        <w:br/>
      </w:r>
    </w:p>
    <w:p w14:paraId="3CDB9AB7" w14:textId="673CBB66" w:rsidR="00E85426" w:rsidRPr="00720B0E" w:rsidRDefault="00B4789A" w:rsidP="00610600">
      <w:pPr>
        <w:pStyle w:val="ListParagraph"/>
        <w:numPr>
          <w:ilvl w:val="2"/>
          <w:numId w:val="16"/>
        </w:numPr>
        <w:spacing w:after="0" w:line="240" w:lineRule="auto"/>
        <w:ind w:left="1800"/>
      </w:pPr>
      <w:r w:rsidRPr="00720B0E">
        <w:t>Draw t</w:t>
      </w:r>
      <w:r w:rsidR="005A04E5" w:rsidRPr="00720B0E">
        <w:t xml:space="preserve">he substance into the syringe and </w:t>
      </w:r>
      <w:r w:rsidRPr="00720B0E">
        <w:t xml:space="preserve">place </w:t>
      </w:r>
      <w:r w:rsidR="005A04E5" w:rsidRPr="00720B0E">
        <w:t>the cap/needle guide over the needle.</w:t>
      </w:r>
    </w:p>
    <w:p w14:paraId="455C3B82" w14:textId="77777777" w:rsidR="00E85426" w:rsidRPr="00720B0E" w:rsidRDefault="00E85426" w:rsidP="00610600">
      <w:pPr>
        <w:pStyle w:val="ListParagraph"/>
        <w:spacing w:after="0" w:line="240" w:lineRule="auto"/>
        <w:ind w:left="1800"/>
      </w:pPr>
    </w:p>
    <w:p w14:paraId="0110AF3D" w14:textId="09B07632" w:rsidR="005A04E5" w:rsidRPr="00720B0E" w:rsidRDefault="00B85616" w:rsidP="00610600">
      <w:pPr>
        <w:pStyle w:val="ListParagraph"/>
        <w:numPr>
          <w:ilvl w:val="2"/>
          <w:numId w:val="16"/>
        </w:numPr>
        <w:spacing w:after="0" w:line="240" w:lineRule="auto"/>
        <w:ind w:left="1800"/>
      </w:pPr>
      <w:r w:rsidRPr="00720B0E">
        <w:t>The i</w:t>
      </w:r>
      <w:r w:rsidR="005A04E5" w:rsidRPr="00720B0E">
        <w:t xml:space="preserve">njection volume recommended as the maximum volume per neonatal mouse or rat is </w:t>
      </w:r>
      <w:r w:rsidR="009E10C2" w:rsidRPr="00720B0E">
        <w:t>100</w:t>
      </w:r>
      <w:r w:rsidRPr="00720B0E">
        <w:t xml:space="preserve"> </w:t>
      </w:r>
      <w:r w:rsidR="009E10C2" w:rsidRPr="00720B0E">
        <w:t>µL</w:t>
      </w:r>
      <w:r w:rsidRPr="00720B0E">
        <w:t>,</w:t>
      </w:r>
      <w:r w:rsidR="005A04E5" w:rsidRPr="00720B0E">
        <w:t xml:space="preserve"> and that for weanling or older mice is up to </w:t>
      </w:r>
      <w:r w:rsidR="009E10C2" w:rsidRPr="00720B0E">
        <w:t>300</w:t>
      </w:r>
      <w:r w:rsidRPr="00720B0E">
        <w:t xml:space="preserve"> </w:t>
      </w:r>
      <w:r w:rsidR="009E10C2" w:rsidRPr="00720B0E">
        <w:t>µL.</w:t>
      </w:r>
    </w:p>
    <w:p w14:paraId="7E63CB68" w14:textId="77777777" w:rsidR="00E85426" w:rsidRPr="00720B0E" w:rsidRDefault="00E85426" w:rsidP="00610600">
      <w:pPr>
        <w:spacing w:after="0" w:line="240" w:lineRule="auto"/>
        <w:contextualSpacing/>
      </w:pPr>
    </w:p>
    <w:p w14:paraId="781F658A" w14:textId="2E49D71D" w:rsidR="005A04E5" w:rsidRPr="00720B0E" w:rsidRDefault="005A04E5" w:rsidP="00610600">
      <w:pPr>
        <w:pStyle w:val="ListParagraph"/>
        <w:numPr>
          <w:ilvl w:val="2"/>
          <w:numId w:val="16"/>
        </w:numPr>
        <w:spacing w:after="0" w:line="240" w:lineRule="auto"/>
        <w:ind w:left="1800"/>
      </w:pPr>
      <w:r w:rsidRPr="00720B0E">
        <w:t xml:space="preserve">To inject into the cerebral cortex of neonates, </w:t>
      </w:r>
      <w:r w:rsidR="00F5712E" w:rsidRPr="00720B0E">
        <w:t>insert the needle</w:t>
      </w:r>
      <w:r w:rsidRPr="00720B0E">
        <w:t xml:space="preserve"> 5 mm behind the eye, approximately 3 mm off the midline of the skull.</w:t>
      </w:r>
    </w:p>
    <w:p w14:paraId="0FC8E402" w14:textId="77777777" w:rsidR="00E85426" w:rsidRPr="00720B0E" w:rsidRDefault="00E85426" w:rsidP="00610600">
      <w:pPr>
        <w:spacing w:after="0" w:line="240" w:lineRule="auto"/>
        <w:contextualSpacing/>
      </w:pPr>
    </w:p>
    <w:p w14:paraId="678749AE" w14:textId="1A6DFA13" w:rsidR="005A04E5" w:rsidRPr="00720B0E" w:rsidRDefault="005A04E5" w:rsidP="00610600">
      <w:pPr>
        <w:pStyle w:val="ListParagraph"/>
        <w:numPr>
          <w:ilvl w:val="2"/>
          <w:numId w:val="16"/>
        </w:numPr>
        <w:spacing w:after="0" w:line="240" w:lineRule="auto"/>
        <w:ind w:left="1800"/>
      </w:pPr>
      <w:r w:rsidRPr="00720B0E">
        <w:t xml:space="preserve">The weanling </w:t>
      </w:r>
      <w:r w:rsidR="006B5F8F" w:rsidRPr="00720B0E">
        <w:t>mouse</w:t>
      </w:r>
      <w:r w:rsidRPr="00720B0E">
        <w:t xml:space="preserve"> injection site is approximately half way between the eye and ear</w:t>
      </w:r>
      <w:r w:rsidR="00FB36FC" w:rsidRPr="00720B0E">
        <w:t>,</w:t>
      </w:r>
      <w:r w:rsidRPr="00720B0E">
        <w:t xml:space="preserve"> and just off the midline. </w:t>
      </w:r>
    </w:p>
    <w:p w14:paraId="4FE09060" w14:textId="77777777" w:rsidR="00856183" w:rsidRPr="00720B0E" w:rsidRDefault="00856183" w:rsidP="00610600">
      <w:pPr>
        <w:spacing w:after="0" w:line="240" w:lineRule="auto"/>
        <w:contextualSpacing/>
      </w:pPr>
    </w:p>
    <w:p w14:paraId="1BB37D74" w14:textId="30263F33" w:rsidR="00856183" w:rsidRPr="00CC503B" w:rsidRDefault="00CC503B" w:rsidP="00610600">
      <w:pPr>
        <w:spacing w:after="0" w:line="240" w:lineRule="auto"/>
        <w:contextualSpacing/>
        <w:rPr>
          <w:b/>
        </w:rPr>
      </w:pPr>
      <w:r w:rsidRPr="00CC503B">
        <w:rPr>
          <w:b/>
        </w:rPr>
        <w:t xml:space="preserve">Figure 4. </w:t>
      </w:r>
      <w:proofErr w:type="gramStart"/>
      <w:r w:rsidRPr="00CC503B">
        <w:rPr>
          <w:b/>
        </w:rPr>
        <w:t>Intracranial administration in a mouse pup.</w:t>
      </w:r>
      <w:proofErr w:type="gramEnd"/>
      <w:r w:rsidRPr="00CC503B">
        <w:rPr>
          <w:b/>
        </w:rPr>
        <w:t xml:space="preserve"> </w:t>
      </w:r>
    </w:p>
    <w:p w14:paraId="009D5DDB" w14:textId="77777777" w:rsidR="00CC503B" w:rsidRPr="00720B0E" w:rsidRDefault="00CC503B" w:rsidP="00610600">
      <w:pPr>
        <w:spacing w:after="0" w:line="240" w:lineRule="auto"/>
        <w:contextualSpacing/>
      </w:pPr>
    </w:p>
    <w:p w14:paraId="63E80714" w14:textId="6C4B809C" w:rsidR="006107D5" w:rsidRPr="00720B0E" w:rsidRDefault="002A5964" w:rsidP="00610600">
      <w:pPr>
        <w:tabs>
          <w:tab w:val="left" w:pos="180"/>
        </w:tabs>
        <w:spacing w:after="0" w:line="240" w:lineRule="auto"/>
        <w:contextualSpacing/>
        <w:rPr>
          <w:b/>
        </w:rPr>
      </w:pPr>
      <w:r>
        <w:rPr>
          <w:b/>
        </w:rPr>
        <w:t>Summary</w:t>
      </w:r>
    </w:p>
    <w:p w14:paraId="3A4A3167" w14:textId="77777777" w:rsidR="007422AC" w:rsidRPr="00720B0E" w:rsidRDefault="007422AC" w:rsidP="00610600">
      <w:pPr>
        <w:tabs>
          <w:tab w:val="left" w:pos="180"/>
        </w:tabs>
        <w:spacing w:after="0" w:line="240" w:lineRule="auto"/>
        <w:contextualSpacing/>
        <w:rPr>
          <w:b/>
        </w:rPr>
      </w:pPr>
    </w:p>
    <w:p w14:paraId="576470D7" w14:textId="7030FA25" w:rsidR="006107D5" w:rsidRPr="00720B0E" w:rsidRDefault="0038692A" w:rsidP="00610600">
      <w:pPr>
        <w:tabs>
          <w:tab w:val="left" w:pos="180"/>
        </w:tabs>
        <w:spacing w:after="0" w:line="240" w:lineRule="auto"/>
        <w:contextualSpacing/>
      </w:pPr>
      <w:r w:rsidRPr="00720B0E">
        <w:t>The administratio</w:t>
      </w:r>
      <w:bookmarkStart w:id="0" w:name="_GoBack"/>
      <w:bookmarkEnd w:id="0"/>
      <w:r w:rsidRPr="00720B0E">
        <w:t xml:space="preserve">n of compounds into animals can have a significant effect on both the wellbeing of the animal and the outcome of the experimental data and scientific value. The proper method of delivery is essential to the success of the </w:t>
      </w:r>
      <w:r w:rsidR="003F5536" w:rsidRPr="00720B0E">
        <w:t>experiment. Many factors must be considered to determine the best route</w:t>
      </w:r>
      <w:r w:rsidR="008D172E" w:rsidRPr="00720B0E">
        <w:t>,</w:t>
      </w:r>
      <w:r w:rsidR="003F5536" w:rsidRPr="00720B0E">
        <w:t xml:space="preserve"> including the scientific aim of the study, the pH of the substance, the required dosage volume, the viscosity of the substance, and the wellbeing of the animals. Technical expertise is also a requirement for all injection methods.</w:t>
      </w:r>
    </w:p>
    <w:p w14:paraId="67355D45" w14:textId="77777777" w:rsidR="007422AC" w:rsidRPr="00720B0E" w:rsidRDefault="007422AC" w:rsidP="00610600">
      <w:pPr>
        <w:tabs>
          <w:tab w:val="left" w:pos="180"/>
        </w:tabs>
        <w:spacing w:after="0" w:line="240" w:lineRule="auto"/>
        <w:contextualSpacing/>
      </w:pPr>
    </w:p>
    <w:p w14:paraId="4349DB7F" w14:textId="4A8961D9" w:rsidR="00F45279" w:rsidRPr="00720B0E" w:rsidRDefault="00B94D26" w:rsidP="00610600">
      <w:pPr>
        <w:spacing w:after="0" w:line="240" w:lineRule="auto"/>
        <w:contextualSpacing/>
        <w:rPr>
          <w:b/>
        </w:rPr>
      </w:pPr>
      <w:r w:rsidRPr="00720B0E">
        <w:rPr>
          <w:b/>
        </w:rPr>
        <w:t>References</w:t>
      </w:r>
    </w:p>
    <w:p w14:paraId="05481B41" w14:textId="77777777" w:rsidR="007422AC" w:rsidRPr="00720B0E" w:rsidRDefault="007422AC" w:rsidP="00610600">
      <w:pPr>
        <w:spacing w:after="0" w:line="240" w:lineRule="auto"/>
        <w:contextualSpacing/>
        <w:rPr>
          <w:b/>
        </w:rPr>
      </w:pPr>
    </w:p>
    <w:p w14:paraId="0376667D" w14:textId="137BAC02" w:rsidR="009055CC" w:rsidRPr="00720B0E" w:rsidRDefault="009055CC" w:rsidP="00610600">
      <w:pPr>
        <w:pStyle w:val="ListParagraph"/>
        <w:numPr>
          <w:ilvl w:val="0"/>
          <w:numId w:val="17"/>
        </w:numPr>
        <w:spacing w:after="0" w:line="240" w:lineRule="auto"/>
      </w:pPr>
      <w:r w:rsidRPr="00720B0E">
        <w:t xml:space="preserve">Turner, P.V., </w:t>
      </w:r>
      <w:proofErr w:type="spellStart"/>
      <w:r w:rsidRPr="00720B0E">
        <w:t>Pekow</w:t>
      </w:r>
      <w:proofErr w:type="spellEnd"/>
      <w:r w:rsidRPr="00720B0E">
        <w:t xml:space="preserve">, C., </w:t>
      </w:r>
      <w:proofErr w:type="spellStart"/>
      <w:r w:rsidRPr="00720B0E">
        <w:t>Vasbinder</w:t>
      </w:r>
      <w:proofErr w:type="spellEnd"/>
      <w:r w:rsidRPr="00720B0E">
        <w:t>, M. A.</w:t>
      </w:r>
      <w:r w:rsidR="00B94D26" w:rsidRPr="00720B0E">
        <w:t>,</w:t>
      </w:r>
      <w:r w:rsidRPr="00720B0E">
        <w:t xml:space="preserve"> and </w:t>
      </w:r>
      <w:proofErr w:type="spellStart"/>
      <w:r w:rsidRPr="00720B0E">
        <w:t>Brabb</w:t>
      </w:r>
      <w:proofErr w:type="spellEnd"/>
      <w:r w:rsidRPr="00720B0E">
        <w:t xml:space="preserve">, T. 2011. Administration of substances to laboratory animals: equipment and considerations, vehicle selection, and solution preparation. </w:t>
      </w:r>
      <w:r w:rsidRPr="00720B0E">
        <w:rPr>
          <w:i/>
        </w:rPr>
        <w:t>JAALAS.</w:t>
      </w:r>
      <w:r w:rsidRPr="00720B0E">
        <w:t xml:space="preserve"> </w:t>
      </w:r>
      <w:r w:rsidRPr="00720B0E">
        <w:rPr>
          <w:b/>
        </w:rPr>
        <w:t>50</w:t>
      </w:r>
      <w:r w:rsidRPr="00720B0E">
        <w:t>:5. 614-627.</w:t>
      </w:r>
    </w:p>
    <w:p w14:paraId="70468A98" w14:textId="0B13E728" w:rsidR="009055CC" w:rsidRPr="00720B0E" w:rsidRDefault="009055CC" w:rsidP="00610600">
      <w:pPr>
        <w:pStyle w:val="ListParagraph"/>
        <w:numPr>
          <w:ilvl w:val="0"/>
          <w:numId w:val="17"/>
        </w:numPr>
        <w:spacing w:after="0" w:line="240" w:lineRule="auto"/>
      </w:pPr>
      <w:proofErr w:type="spellStart"/>
      <w:r w:rsidRPr="00720B0E">
        <w:t>Dhuria</w:t>
      </w:r>
      <w:proofErr w:type="spellEnd"/>
      <w:r w:rsidRPr="00720B0E">
        <w:t xml:space="preserve">, S.V., Hanson, L.R., and Frey II, W.H. 2010. Intranasal delivery to the central nervous system: mechanisms and experimental considerations. </w:t>
      </w:r>
      <w:r w:rsidR="00AC35A9" w:rsidRPr="00720B0E">
        <w:rPr>
          <w:i/>
        </w:rPr>
        <w:t>Journal of Pharmaceutical Sciences</w:t>
      </w:r>
      <w:r w:rsidR="00AC35A9" w:rsidRPr="00720B0E">
        <w:t xml:space="preserve">. </w:t>
      </w:r>
      <w:r w:rsidR="00AC35A9" w:rsidRPr="00720B0E">
        <w:rPr>
          <w:b/>
        </w:rPr>
        <w:t>99</w:t>
      </w:r>
      <w:r w:rsidR="00AC35A9" w:rsidRPr="00720B0E">
        <w:t>:4. 1654-1673.</w:t>
      </w:r>
    </w:p>
    <w:p w14:paraId="5D3FEA78" w14:textId="77777777" w:rsidR="00AC35A9" w:rsidRPr="00720B0E" w:rsidRDefault="00762392" w:rsidP="00610600">
      <w:pPr>
        <w:pStyle w:val="ListParagraph"/>
        <w:numPr>
          <w:ilvl w:val="0"/>
          <w:numId w:val="17"/>
        </w:numPr>
        <w:spacing w:after="0" w:line="240" w:lineRule="auto"/>
      </w:pPr>
      <w:r w:rsidRPr="00720B0E">
        <w:t xml:space="preserve">Stevens, J., </w:t>
      </w:r>
      <w:proofErr w:type="spellStart"/>
      <w:r w:rsidRPr="00720B0E">
        <w:t>Suidgeest</w:t>
      </w:r>
      <w:proofErr w:type="spellEnd"/>
      <w:r w:rsidRPr="00720B0E">
        <w:t xml:space="preserve">, E, Van der </w:t>
      </w:r>
      <w:proofErr w:type="spellStart"/>
      <w:r w:rsidRPr="00720B0E">
        <w:t>Graaf</w:t>
      </w:r>
      <w:proofErr w:type="spellEnd"/>
      <w:r w:rsidRPr="00720B0E">
        <w:t xml:space="preserve">, P.H., </w:t>
      </w:r>
      <w:proofErr w:type="spellStart"/>
      <w:r w:rsidRPr="00720B0E">
        <w:t>Danhof</w:t>
      </w:r>
      <w:proofErr w:type="spellEnd"/>
      <w:r w:rsidRPr="00720B0E">
        <w:t xml:space="preserve">, M., and De Lange, E.C. 2008. </w:t>
      </w:r>
      <w:r w:rsidR="00AC35A9" w:rsidRPr="00720B0E">
        <w:t>Development and evaluation of a new, minimal-stress animal model for intranasal</w:t>
      </w:r>
      <w:r w:rsidRPr="00720B0E">
        <w:t xml:space="preserve"> </w:t>
      </w:r>
      <w:r w:rsidR="00AC35A9" w:rsidRPr="00720B0E">
        <w:t>administration in freely moving rats</w:t>
      </w:r>
      <w:r w:rsidRPr="00720B0E">
        <w:t>.  Poster presentation at American Association of Pharmaceutical Scientists Annual Meeting, Atlanta, Georgia.</w:t>
      </w:r>
    </w:p>
    <w:p w14:paraId="7812E42B" w14:textId="77777777" w:rsidR="00AC35A9" w:rsidRDefault="00AC35A9" w:rsidP="00610600">
      <w:pPr>
        <w:pStyle w:val="ListParagraph"/>
        <w:spacing w:after="0" w:line="240" w:lineRule="auto"/>
      </w:pPr>
    </w:p>
    <w:p w14:paraId="34B03F6C" w14:textId="77777777" w:rsidR="00610600" w:rsidRDefault="00610600"/>
    <w:sectPr w:rsidR="00610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C52B8"/>
    <w:multiLevelType w:val="hybridMultilevel"/>
    <w:tmpl w:val="3DD21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C624752"/>
    <w:multiLevelType w:val="hybridMultilevel"/>
    <w:tmpl w:val="51B4F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704B37"/>
    <w:multiLevelType w:val="hybridMultilevel"/>
    <w:tmpl w:val="6E369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574B52"/>
    <w:multiLevelType w:val="hybridMultilevel"/>
    <w:tmpl w:val="95FA3C8C"/>
    <w:lvl w:ilvl="0" w:tplc="747E9D0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761B24"/>
    <w:multiLevelType w:val="hybridMultilevel"/>
    <w:tmpl w:val="F9107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7977E35"/>
    <w:multiLevelType w:val="hybridMultilevel"/>
    <w:tmpl w:val="05247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9D9305B"/>
    <w:multiLevelType w:val="hybridMultilevel"/>
    <w:tmpl w:val="94CA9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3F4FCB"/>
    <w:multiLevelType w:val="hybridMultilevel"/>
    <w:tmpl w:val="CC8480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86257A1"/>
    <w:multiLevelType w:val="hybridMultilevel"/>
    <w:tmpl w:val="F008E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94D7775"/>
    <w:multiLevelType w:val="hybridMultilevel"/>
    <w:tmpl w:val="102CE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4C73E15"/>
    <w:multiLevelType w:val="hybridMultilevel"/>
    <w:tmpl w:val="E27073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F7619B9"/>
    <w:multiLevelType w:val="hybridMultilevel"/>
    <w:tmpl w:val="13563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50142B3"/>
    <w:multiLevelType w:val="hybridMultilevel"/>
    <w:tmpl w:val="FE1C1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9D32F2E"/>
    <w:multiLevelType w:val="hybridMultilevel"/>
    <w:tmpl w:val="63984D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D1F380F"/>
    <w:multiLevelType w:val="multilevel"/>
    <w:tmpl w:val="1D8856D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b w:val="0"/>
        <w:vertAlign w:val="baseline"/>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nsid w:val="60950AB8"/>
    <w:multiLevelType w:val="multilevel"/>
    <w:tmpl w:val="D30E402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65A71229"/>
    <w:multiLevelType w:val="hybridMultilevel"/>
    <w:tmpl w:val="94B46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BD937F2"/>
    <w:multiLevelType w:val="multilevel"/>
    <w:tmpl w:val="1642565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nsid w:val="6DE833B7"/>
    <w:multiLevelType w:val="hybridMultilevel"/>
    <w:tmpl w:val="867E28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6FA13AA"/>
    <w:multiLevelType w:val="hybridMultilevel"/>
    <w:tmpl w:val="130642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B041E95"/>
    <w:multiLevelType w:val="hybridMultilevel"/>
    <w:tmpl w:val="CB32ED1E"/>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4"/>
  </w:num>
  <w:num w:numId="4">
    <w:abstractNumId w:val="13"/>
  </w:num>
  <w:num w:numId="5">
    <w:abstractNumId w:val="16"/>
  </w:num>
  <w:num w:numId="6">
    <w:abstractNumId w:val="19"/>
  </w:num>
  <w:num w:numId="7">
    <w:abstractNumId w:val="10"/>
  </w:num>
  <w:num w:numId="8">
    <w:abstractNumId w:val="11"/>
  </w:num>
  <w:num w:numId="9">
    <w:abstractNumId w:val="2"/>
  </w:num>
  <w:num w:numId="10">
    <w:abstractNumId w:val="0"/>
  </w:num>
  <w:num w:numId="11">
    <w:abstractNumId w:val="7"/>
  </w:num>
  <w:num w:numId="12">
    <w:abstractNumId w:val="9"/>
  </w:num>
  <w:num w:numId="13">
    <w:abstractNumId w:val="12"/>
  </w:num>
  <w:num w:numId="14">
    <w:abstractNumId w:val="18"/>
  </w:num>
  <w:num w:numId="15">
    <w:abstractNumId w:val="3"/>
  </w:num>
  <w:num w:numId="16">
    <w:abstractNumId w:val="14"/>
  </w:num>
  <w:num w:numId="17">
    <w:abstractNumId w:val="1"/>
  </w:num>
  <w:num w:numId="18">
    <w:abstractNumId w:val="6"/>
  </w:num>
  <w:num w:numId="19">
    <w:abstractNumId w:val="17"/>
  </w:num>
  <w:num w:numId="20">
    <w:abstractNumId w:val="2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3DD"/>
    <w:rsid w:val="00000848"/>
    <w:rsid w:val="00006D84"/>
    <w:rsid w:val="000101BB"/>
    <w:rsid w:val="00012C89"/>
    <w:rsid w:val="00017572"/>
    <w:rsid w:val="0002513C"/>
    <w:rsid w:val="00041DAC"/>
    <w:rsid w:val="00064476"/>
    <w:rsid w:val="000750E5"/>
    <w:rsid w:val="000A23DD"/>
    <w:rsid w:val="000A50AA"/>
    <w:rsid w:val="000A637E"/>
    <w:rsid w:val="000C2C30"/>
    <w:rsid w:val="000E7161"/>
    <w:rsid w:val="000F6681"/>
    <w:rsid w:val="00102857"/>
    <w:rsid w:val="00105EC9"/>
    <w:rsid w:val="0011598E"/>
    <w:rsid w:val="00146828"/>
    <w:rsid w:val="00152B42"/>
    <w:rsid w:val="00192086"/>
    <w:rsid w:val="001A2088"/>
    <w:rsid w:val="001C1B05"/>
    <w:rsid w:val="001C72E9"/>
    <w:rsid w:val="001F5CF2"/>
    <w:rsid w:val="00201CAB"/>
    <w:rsid w:val="00240C44"/>
    <w:rsid w:val="002646A5"/>
    <w:rsid w:val="002834FC"/>
    <w:rsid w:val="002905C2"/>
    <w:rsid w:val="002A5964"/>
    <w:rsid w:val="002B5D14"/>
    <w:rsid w:val="002B628A"/>
    <w:rsid w:val="002C09D4"/>
    <w:rsid w:val="002C48E6"/>
    <w:rsid w:val="002D3C1E"/>
    <w:rsid w:val="002F3F2F"/>
    <w:rsid w:val="002F6BBE"/>
    <w:rsid w:val="003066E2"/>
    <w:rsid w:val="003130C9"/>
    <w:rsid w:val="00320B3D"/>
    <w:rsid w:val="00356278"/>
    <w:rsid w:val="0038692A"/>
    <w:rsid w:val="003939F6"/>
    <w:rsid w:val="003B4DA7"/>
    <w:rsid w:val="003C18D1"/>
    <w:rsid w:val="003E5388"/>
    <w:rsid w:val="003F4F53"/>
    <w:rsid w:val="003F5536"/>
    <w:rsid w:val="00404596"/>
    <w:rsid w:val="004369CA"/>
    <w:rsid w:val="00446E8F"/>
    <w:rsid w:val="00461B6D"/>
    <w:rsid w:val="00466EF0"/>
    <w:rsid w:val="00467110"/>
    <w:rsid w:val="00491FDF"/>
    <w:rsid w:val="00492D9A"/>
    <w:rsid w:val="004C41A1"/>
    <w:rsid w:val="004E73C4"/>
    <w:rsid w:val="004F4B3E"/>
    <w:rsid w:val="004F605B"/>
    <w:rsid w:val="0050214B"/>
    <w:rsid w:val="005055EA"/>
    <w:rsid w:val="005324D4"/>
    <w:rsid w:val="00560B83"/>
    <w:rsid w:val="00573C9B"/>
    <w:rsid w:val="00583A17"/>
    <w:rsid w:val="005915E5"/>
    <w:rsid w:val="005A04E5"/>
    <w:rsid w:val="005A281B"/>
    <w:rsid w:val="005B08F5"/>
    <w:rsid w:val="005D35E7"/>
    <w:rsid w:val="005D5126"/>
    <w:rsid w:val="005D7C48"/>
    <w:rsid w:val="005E4780"/>
    <w:rsid w:val="005E7AB8"/>
    <w:rsid w:val="005F11EF"/>
    <w:rsid w:val="00610600"/>
    <w:rsid w:val="006107D5"/>
    <w:rsid w:val="00617723"/>
    <w:rsid w:val="0064469D"/>
    <w:rsid w:val="006757ED"/>
    <w:rsid w:val="00697771"/>
    <w:rsid w:val="006A2FFA"/>
    <w:rsid w:val="006B5F8F"/>
    <w:rsid w:val="006B68E5"/>
    <w:rsid w:val="006C05F3"/>
    <w:rsid w:val="006C5330"/>
    <w:rsid w:val="00702F64"/>
    <w:rsid w:val="00716D99"/>
    <w:rsid w:val="00720B0E"/>
    <w:rsid w:val="00726E60"/>
    <w:rsid w:val="0074206D"/>
    <w:rsid w:val="007422AC"/>
    <w:rsid w:val="00762392"/>
    <w:rsid w:val="007841F1"/>
    <w:rsid w:val="007D21C0"/>
    <w:rsid w:val="007D6A65"/>
    <w:rsid w:val="007D7633"/>
    <w:rsid w:val="007E3CF2"/>
    <w:rsid w:val="007F05ED"/>
    <w:rsid w:val="007F2DC0"/>
    <w:rsid w:val="00800EC7"/>
    <w:rsid w:val="00806284"/>
    <w:rsid w:val="00812964"/>
    <w:rsid w:val="00825E59"/>
    <w:rsid w:val="00856183"/>
    <w:rsid w:val="00876FF3"/>
    <w:rsid w:val="008A2E0F"/>
    <w:rsid w:val="008B0583"/>
    <w:rsid w:val="008B57E3"/>
    <w:rsid w:val="008D172E"/>
    <w:rsid w:val="008D41AA"/>
    <w:rsid w:val="00904E10"/>
    <w:rsid w:val="009055CC"/>
    <w:rsid w:val="00976016"/>
    <w:rsid w:val="00980484"/>
    <w:rsid w:val="009A1F85"/>
    <w:rsid w:val="009A6DFD"/>
    <w:rsid w:val="009C3FB2"/>
    <w:rsid w:val="009D5A4D"/>
    <w:rsid w:val="009E10C2"/>
    <w:rsid w:val="00A13509"/>
    <w:rsid w:val="00A13C93"/>
    <w:rsid w:val="00A309A6"/>
    <w:rsid w:val="00A55BF1"/>
    <w:rsid w:val="00A91753"/>
    <w:rsid w:val="00A97DEC"/>
    <w:rsid w:val="00AC35A9"/>
    <w:rsid w:val="00AF4C99"/>
    <w:rsid w:val="00AF60AE"/>
    <w:rsid w:val="00B36F0A"/>
    <w:rsid w:val="00B4403F"/>
    <w:rsid w:val="00B4789A"/>
    <w:rsid w:val="00B66021"/>
    <w:rsid w:val="00B85616"/>
    <w:rsid w:val="00B86659"/>
    <w:rsid w:val="00B94D26"/>
    <w:rsid w:val="00BA1F0D"/>
    <w:rsid w:val="00BD45EC"/>
    <w:rsid w:val="00BD5B4D"/>
    <w:rsid w:val="00C2466F"/>
    <w:rsid w:val="00C41A58"/>
    <w:rsid w:val="00C51BE4"/>
    <w:rsid w:val="00C620B2"/>
    <w:rsid w:val="00C911E6"/>
    <w:rsid w:val="00CA59DF"/>
    <w:rsid w:val="00CB0BCB"/>
    <w:rsid w:val="00CB34F0"/>
    <w:rsid w:val="00CC503B"/>
    <w:rsid w:val="00CF0809"/>
    <w:rsid w:val="00CF5C20"/>
    <w:rsid w:val="00D16543"/>
    <w:rsid w:val="00D213DA"/>
    <w:rsid w:val="00D81AB0"/>
    <w:rsid w:val="00D85D1B"/>
    <w:rsid w:val="00D94964"/>
    <w:rsid w:val="00DE6AEA"/>
    <w:rsid w:val="00DE72CC"/>
    <w:rsid w:val="00DF5BF0"/>
    <w:rsid w:val="00E639A8"/>
    <w:rsid w:val="00E80D06"/>
    <w:rsid w:val="00E85426"/>
    <w:rsid w:val="00E93057"/>
    <w:rsid w:val="00EC5B1C"/>
    <w:rsid w:val="00ED7EB1"/>
    <w:rsid w:val="00EE7480"/>
    <w:rsid w:val="00EF292D"/>
    <w:rsid w:val="00F02D01"/>
    <w:rsid w:val="00F114D5"/>
    <w:rsid w:val="00F30FFD"/>
    <w:rsid w:val="00F40159"/>
    <w:rsid w:val="00F45279"/>
    <w:rsid w:val="00F55457"/>
    <w:rsid w:val="00F5712E"/>
    <w:rsid w:val="00F57200"/>
    <w:rsid w:val="00F83F3B"/>
    <w:rsid w:val="00FB24A1"/>
    <w:rsid w:val="00FB36FC"/>
    <w:rsid w:val="00FF3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73FF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8E5"/>
    <w:pPr>
      <w:ind w:left="720"/>
      <w:contextualSpacing/>
    </w:pPr>
  </w:style>
  <w:style w:type="character" w:styleId="CommentReference">
    <w:name w:val="annotation reference"/>
    <w:basedOn w:val="DefaultParagraphFont"/>
    <w:uiPriority w:val="99"/>
    <w:semiHidden/>
    <w:unhideWhenUsed/>
    <w:rsid w:val="00904E10"/>
    <w:rPr>
      <w:sz w:val="16"/>
      <w:szCs w:val="16"/>
    </w:rPr>
  </w:style>
  <w:style w:type="paragraph" w:styleId="CommentText">
    <w:name w:val="annotation text"/>
    <w:basedOn w:val="Normal"/>
    <w:link w:val="CommentTextChar"/>
    <w:uiPriority w:val="99"/>
    <w:semiHidden/>
    <w:unhideWhenUsed/>
    <w:rsid w:val="00904E10"/>
    <w:pPr>
      <w:spacing w:line="240" w:lineRule="auto"/>
    </w:pPr>
    <w:rPr>
      <w:sz w:val="20"/>
      <w:szCs w:val="20"/>
    </w:rPr>
  </w:style>
  <w:style w:type="character" w:customStyle="1" w:styleId="CommentTextChar">
    <w:name w:val="Comment Text Char"/>
    <w:basedOn w:val="DefaultParagraphFont"/>
    <w:link w:val="CommentText"/>
    <w:uiPriority w:val="99"/>
    <w:semiHidden/>
    <w:rsid w:val="00904E10"/>
    <w:rPr>
      <w:sz w:val="20"/>
      <w:szCs w:val="20"/>
    </w:rPr>
  </w:style>
  <w:style w:type="paragraph" w:styleId="CommentSubject">
    <w:name w:val="annotation subject"/>
    <w:basedOn w:val="CommentText"/>
    <w:next w:val="CommentText"/>
    <w:link w:val="CommentSubjectChar"/>
    <w:uiPriority w:val="99"/>
    <w:semiHidden/>
    <w:unhideWhenUsed/>
    <w:rsid w:val="00904E10"/>
    <w:rPr>
      <w:b/>
      <w:bCs/>
    </w:rPr>
  </w:style>
  <w:style w:type="character" w:customStyle="1" w:styleId="CommentSubjectChar">
    <w:name w:val="Comment Subject Char"/>
    <w:basedOn w:val="CommentTextChar"/>
    <w:link w:val="CommentSubject"/>
    <w:uiPriority w:val="99"/>
    <w:semiHidden/>
    <w:rsid w:val="00904E10"/>
    <w:rPr>
      <w:b/>
      <w:bCs/>
      <w:sz w:val="20"/>
      <w:szCs w:val="20"/>
    </w:rPr>
  </w:style>
  <w:style w:type="paragraph" w:styleId="BalloonText">
    <w:name w:val="Balloon Text"/>
    <w:basedOn w:val="Normal"/>
    <w:link w:val="BalloonTextChar"/>
    <w:uiPriority w:val="99"/>
    <w:semiHidden/>
    <w:unhideWhenUsed/>
    <w:rsid w:val="00904E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E10"/>
    <w:rPr>
      <w:rFonts w:ascii="Tahoma" w:hAnsi="Tahoma" w:cs="Tahoma"/>
      <w:sz w:val="16"/>
      <w:szCs w:val="16"/>
    </w:rPr>
  </w:style>
  <w:style w:type="table" w:styleId="TableGrid">
    <w:name w:val="Table Grid"/>
    <w:basedOn w:val="TableNormal"/>
    <w:uiPriority w:val="59"/>
    <w:rsid w:val="00583A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8E5"/>
    <w:pPr>
      <w:ind w:left="720"/>
      <w:contextualSpacing/>
    </w:pPr>
  </w:style>
  <w:style w:type="character" w:styleId="CommentReference">
    <w:name w:val="annotation reference"/>
    <w:basedOn w:val="DefaultParagraphFont"/>
    <w:uiPriority w:val="99"/>
    <w:semiHidden/>
    <w:unhideWhenUsed/>
    <w:rsid w:val="00904E10"/>
    <w:rPr>
      <w:sz w:val="16"/>
      <w:szCs w:val="16"/>
    </w:rPr>
  </w:style>
  <w:style w:type="paragraph" w:styleId="CommentText">
    <w:name w:val="annotation text"/>
    <w:basedOn w:val="Normal"/>
    <w:link w:val="CommentTextChar"/>
    <w:uiPriority w:val="99"/>
    <w:semiHidden/>
    <w:unhideWhenUsed/>
    <w:rsid w:val="00904E10"/>
    <w:pPr>
      <w:spacing w:line="240" w:lineRule="auto"/>
    </w:pPr>
    <w:rPr>
      <w:sz w:val="20"/>
      <w:szCs w:val="20"/>
    </w:rPr>
  </w:style>
  <w:style w:type="character" w:customStyle="1" w:styleId="CommentTextChar">
    <w:name w:val="Comment Text Char"/>
    <w:basedOn w:val="DefaultParagraphFont"/>
    <w:link w:val="CommentText"/>
    <w:uiPriority w:val="99"/>
    <w:semiHidden/>
    <w:rsid w:val="00904E10"/>
    <w:rPr>
      <w:sz w:val="20"/>
      <w:szCs w:val="20"/>
    </w:rPr>
  </w:style>
  <w:style w:type="paragraph" w:styleId="CommentSubject">
    <w:name w:val="annotation subject"/>
    <w:basedOn w:val="CommentText"/>
    <w:next w:val="CommentText"/>
    <w:link w:val="CommentSubjectChar"/>
    <w:uiPriority w:val="99"/>
    <w:semiHidden/>
    <w:unhideWhenUsed/>
    <w:rsid w:val="00904E10"/>
    <w:rPr>
      <w:b/>
      <w:bCs/>
    </w:rPr>
  </w:style>
  <w:style w:type="character" w:customStyle="1" w:styleId="CommentSubjectChar">
    <w:name w:val="Comment Subject Char"/>
    <w:basedOn w:val="CommentTextChar"/>
    <w:link w:val="CommentSubject"/>
    <w:uiPriority w:val="99"/>
    <w:semiHidden/>
    <w:rsid w:val="00904E10"/>
    <w:rPr>
      <w:b/>
      <w:bCs/>
      <w:sz w:val="20"/>
      <w:szCs w:val="20"/>
    </w:rPr>
  </w:style>
  <w:style w:type="paragraph" w:styleId="BalloonText">
    <w:name w:val="Balloon Text"/>
    <w:basedOn w:val="Normal"/>
    <w:link w:val="BalloonTextChar"/>
    <w:uiPriority w:val="99"/>
    <w:semiHidden/>
    <w:unhideWhenUsed/>
    <w:rsid w:val="00904E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E10"/>
    <w:rPr>
      <w:rFonts w:ascii="Tahoma" w:hAnsi="Tahoma" w:cs="Tahoma"/>
      <w:sz w:val="16"/>
      <w:szCs w:val="16"/>
    </w:rPr>
  </w:style>
  <w:style w:type="table" w:styleId="TableGrid">
    <w:name w:val="Table Grid"/>
    <w:basedOn w:val="TableNormal"/>
    <w:uiPriority w:val="59"/>
    <w:rsid w:val="00583A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6</Pages>
  <Words>1717</Words>
  <Characters>9790</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11485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Stewart</dc:creator>
  <cp:lastModifiedBy>Dipesh Navani</cp:lastModifiedBy>
  <cp:revision>70</cp:revision>
  <dcterms:created xsi:type="dcterms:W3CDTF">2016-09-06T20:49:00Z</dcterms:created>
  <dcterms:modified xsi:type="dcterms:W3CDTF">2016-09-12T14:56:00Z</dcterms:modified>
</cp:coreProperties>
</file>