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945"/>
        <w:tblW w:w="10442" w:type="dxa"/>
        <w:tblLook w:val="04A0" w:firstRow="1" w:lastRow="0" w:firstColumn="1" w:lastColumn="0" w:noHBand="0" w:noVBand="1"/>
      </w:tblPr>
      <w:tblGrid>
        <w:gridCol w:w="3226"/>
        <w:gridCol w:w="2230"/>
        <w:gridCol w:w="1761"/>
        <w:gridCol w:w="3225"/>
      </w:tblGrid>
      <w:tr w:rsidR="00F704FE" w:rsidTr="00F704FE">
        <w:trPr>
          <w:trHeight w:val="945"/>
        </w:trPr>
        <w:tc>
          <w:tcPr>
            <w:tcW w:w="3226" w:type="dxa"/>
            <w:tcBorders>
              <w:bottom w:val="single" w:sz="18" w:space="0" w:color="auto"/>
            </w:tcBorders>
            <w:vAlign w:val="center"/>
          </w:tcPr>
          <w:p w:rsidR="00F704FE" w:rsidRPr="0000102F" w:rsidRDefault="00F704FE" w:rsidP="00F704F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Reagent</w:t>
            </w:r>
          </w:p>
        </w:tc>
        <w:tc>
          <w:tcPr>
            <w:tcW w:w="2230" w:type="dxa"/>
            <w:tcBorders>
              <w:bottom w:val="single" w:sz="18" w:space="0" w:color="auto"/>
            </w:tcBorders>
            <w:vAlign w:val="center"/>
          </w:tcPr>
          <w:p w:rsidR="00F704FE" w:rsidRPr="001A4CC4" w:rsidRDefault="00F704FE" w:rsidP="00F704FE">
            <w:pPr>
              <w:jc w:val="center"/>
              <w:rPr>
                <w:b/>
              </w:rPr>
            </w:pPr>
            <w:r w:rsidRPr="001A4CC4">
              <w:rPr>
                <w:b/>
              </w:rPr>
              <w:t>Volume per 1 reaction (</w:t>
            </w:r>
            <w:r w:rsidRPr="001A4CC4">
              <w:rPr>
                <w:rFonts w:ascii="Cambria" w:hAnsi="Cambria"/>
                <w:b/>
              </w:rPr>
              <w:t>μ</w:t>
            </w:r>
            <w:r w:rsidRPr="001A4CC4">
              <w:rPr>
                <w:b/>
              </w:rPr>
              <w:t>L)</w:t>
            </w:r>
          </w:p>
        </w:tc>
        <w:tc>
          <w:tcPr>
            <w:tcW w:w="1761" w:type="dxa"/>
            <w:tcBorders>
              <w:bottom w:val="single" w:sz="18" w:space="0" w:color="auto"/>
            </w:tcBorders>
            <w:vAlign w:val="center"/>
          </w:tcPr>
          <w:p w:rsidR="00F704FE" w:rsidRPr="0000102F" w:rsidRDefault="00F704FE" w:rsidP="00F704FE">
            <w:pPr>
              <w:jc w:val="center"/>
              <w:rPr>
                <w:b/>
              </w:rPr>
            </w:pPr>
            <w:r>
              <w:rPr>
                <w:b/>
              </w:rPr>
              <w:t>“X” factor</w:t>
            </w:r>
          </w:p>
        </w:tc>
        <w:tc>
          <w:tcPr>
            <w:tcW w:w="3225" w:type="dxa"/>
            <w:tcBorders>
              <w:bottom w:val="single" w:sz="18" w:space="0" w:color="auto"/>
            </w:tcBorders>
            <w:vAlign w:val="center"/>
          </w:tcPr>
          <w:p w:rsidR="00F704FE" w:rsidRPr="0000102F" w:rsidRDefault="00F704FE" w:rsidP="00F704FE">
            <w:pPr>
              <w:jc w:val="center"/>
              <w:rPr>
                <w:b/>
              </w:rPr>
            </w:pPr>
            <w:r>
              <w:rPr>
                <w:b/>
              </w:rPr>
              <w:t xml:space="preserve">Volume added into Master </w:t>
            </w:r>
            <w:r w:rsidRPr="001A4CC4">
              <w:rPr>
                <w:b/>
              </w:rPr>
              <w:t>Mix (</w:t>
            </w:r>
            <w:r w:rsidRPr="001A4CC4">
              <w:rPr>
                <w:rFonts w:ascii="Cambria" w:hAnsi="Cambria"/>
                <w:b/>
              </w:rPr>
              <w:t>μ</w:t>
            </w:r>
            <w:r w:rsidRPr="001A4CC4">
              <w:rPr>
                <w:b/>
              </w:rPr>
              <w:t>L)</w:t>
            </w:r>
          </w:p>
        </w:tc>
      </w:tr>
      <w:tr w:rsidR="00F704FE" w:rsidTr="00F704FE">
        <w:trPr>
          <w:trHeight w:val="460"/>
        </w:trPr>
        <w:tc>
          <w:tcPr>
            <w:tcW w:w="3226" w:type="dxa"/>
            <w:tcBorders>
              <w:top w:val="single" w:sz="18" w:space="0" w:color="auto"/>
            </w:tcBorders>
            <w:vAlign w:val="center"/>
          </w:tcPr>
          <w:p w:rsidR="00F704FE" w:rsidRDefault="00F704FE" w:rsidP="00F704FE">
            <w:pPr>
              <w:jc w:val="center"/>
            </w:pPr>
            <w:r>
              <w:t>10x RT Buffer</w:t>
            </w:r>
          </w:p>
        </w:tc>
        <w:tc>
          <w:tcPr>
            <w:tcW w:w="2230" w:type="dxa"/>
            <w:tcBorders>
              <w:top w:val="single" w:sz="18" w:space="0" w:color="auto"/>
            </w:tcBorders>
            <w:vAlign w:val="center"/>
          </w:tcPr>
          <w:p w:rsidR="00F704FE" w:rsidRDefault="00F704FE" w:rsidP="00F704FE">
            <w:pPr>
              <w:jc w:val="center"/>
            </w:pPr>
            <w:r>
              <w:t>2.0</w:t>
            </w:r>
          </w:p>
        </w:tc>
        <w:tc>
          <w:tcPr>
            <w:tcW w:w="1761" w:type="dxa"/>
            <w:tcBorders>
              <w:top w:val="single" w:sz="18" w:space="0" w:color="auto"/>
            </w:tcBorders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  <w:tc>
          <w:tcPr>
            <w:tcW w:w="3225" w:type="dxa"/>
            <w:tcBorders>
              <w:top w:val="single" w:sz="18" w:space="0" w:color="auto"/>
            </w:tcBorders>
            <w:vAlign w:val="center"/>
          </w:tcPr>
          <w:p w:rsidR="00F704FE" w:rsidRDefault="00F704FE" w:rsidP="00F704FE">
            <w:pPr>
              <w:jc w:val="center"/>
            </w:pPr>
            <w:r>
              <w:t>37</w:t>
            </w:r>
          </w:p>
        </w:tc>
      </w:tr>
      <w:tr w:rsidR="00F704FE" w:rsidTr="00F704FE">
        <w:trPr>
          <w:trHeight w:val="460"/>
        </w:trPr>
        <w:tc>
          <w:tcPr>
            <w:tcW w:w="3226" w:type="dxa"/>
            <w:vAlign w:val="center"/>
          </w:tcPr>
          <w:p w:rsidR="00F704FE" w:rsidRDefault="00F704FE" w:rsidP="00F704FE">
            <w:pPr>
              <w:jc w:val="center"/>
            </w:pPr>
            <w:r>
              <w:t>25x dNTPs</w:t>
            </w:r>
          </w:p>
        </w:tc>
        <w:tc>
          <w:tcPr>
            <w:tcW w:w="2230" w:type="dxa"/>
            <w:vAlign w:val="center"/>
          </w:tcPr>
          <w:p w:rsidR="00F704FE" w:rsidRDefault="00F704FE" w:rsidP="00F704FE">
            <w:pPr>
              <w:jc w:val="center"/>
            </w:pPr>
            <w:r>
              <w:t>0.8</w:t>
            </w:r>
          </w:p>
        </w:tc>
        <w:tc>
          <w:tcPr>
            <w:tcW w:w="1761" w:type="dxa"/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  <w:tc>
          <w:tcPr>
            <w:tcW w:w="3225" w:type="dxa"/>
            <w:vAlign w:val="center"/>
          </w:tcPr>
          <w:p w:rsidR="00F704FE" w:rsidRDefault="00F704FE" w:rsidP="00F704FE">
            <w:pPr>
              <w:jc w:val="center"/>
            </w:pPr>
            <w:r>
              <w:t>14.8</w:t>
            </w:r>
          </w:p>
        </w:tc>
      </w:tr>
      <w:tr w:rsidR="00F704FE" w:rsidTr="00F704FE">
        <w:trPr>
          <w:trHeight w:val="485"/>
        </w:trPr>
        <w:tc>
          <w:tcPr>
            <w:tcW w:w="3226" w:type="dxa"/>
            <w:vAlign w:val="center"/>
          </w:tcPr>
          <w:p w:rsidR="00F704FE" w:rsidRDefault="00F704FE" w:rsidP="00F704FE">
            <w:pPr>
              <w:jc w:val="center"/>
            </w:pPr>
            <w:r>
              <w:t>10x Random Primer</w:t>
            </w:r>
          </w:p>
        </w:tc>
        <w:tc>
          <w:tcPr>
            <w:tcW w:w="2230" w:type="dxa"/>
            <w:vAlign w:val="center"/>
          </w:tcPr>
          <w:p w:rsidR="00F704FE" w:rsidRDefault="00F704FE" w:rsidP="00F704FE">
            <w:pPr>
              <w:jc w:val="center"/>
            </w:pPr>
            <w:r>
              <w:t>2.0</w:t>
            </w:r>
          </w:p>
        </w:tc>
        <w:tc>
          <w:tcPr>
            <w:tcW w:w="1761" w:type="dxa"/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  <w:tc>
          <w:tcPr>
            <w:tcW w:w="3225" w:type="dxa"/>
            <w:vAlign w:val="center"/>
          </w:tcPr>
          <w:p w:rsidR="00F704FE" w:rsidRDefault="00F704FE" w:rsidP="00F704FE">
            <w:pPr>
              <w:jc w:val="center"/>
            </w:pPr>
            <w:r>
              <w:t>37</w:t>
            </w:r>
          </w:p>
        </w:tc>
      </w:tr>
      <w:tr w:rsidR="00F704FE" w:rsidTr="00F704FE">
        <w:trPr>
          <w:trHeight w:val="460"/>
        </w:trPr>
        <w:tc>
          <w:tcPr>
            <w:tcW w:w="3226" w:type="dxa"/>
            <w:vAlign w:val="center"/>
          </w:tcPr>
          <w:p w:rsidR="00F704FE" w:rsidRDefault="00F704FE" w:rsidP="00F704FE">
            <w:pPr>
              <w:jc w:val="center"/>
            </w:pPr>
            <w:r>
              <w:t>Multiscribe</w:t>
            </w:r>
          </w:p>
        </w:tc>
        <w:tc>
          <w:tcPr>
            <w:tcW w:w="2230" w:type="dxa"/>
            <w:vAlign w:val="center"/>
          </w:tcPr>
          <w:p w:rsidR="00F704FE" w:rsidRDefault="00F704FE" w:rsidP="00F704FE">
            <w:pPr>
              <w:jc w:val="center"/>
            </w:pPr>
            <w:r>
              <w:t>1.0</w:t>
            </w:r>
          </w:p>
        </w:tc>
        <w:tc>
          <w:tcPr>
            <w:tcW w:w="1761" w:type="dxa"/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  <w:tc>
          <w:tcPr>
            <w:tcW w:w="3225" w:type="dxa"/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</w:tr>
      <w:tr w:rsidR="00F704FE" w:rsidTr="00F704FE">
        <w:trPr>
          <w:trHeight w:val="460"/>
        </w:trPr>
        <w:tc>
          <w:tcPr>
            <w:tcW w:w="3226" w:type="dxa"/>
            <w:vAlign w:val="center"/>
          </w:tcPr>
          <w:p w:rsidR="00F704FE" w:rsidRPr="00B36B98" w:rsidRDefault="00F704FE" w:rsidP="00F704FE">
            <w:pPr>
              <w:jc w:val="center"/>
            </w:pPr>
            <w:r>
              <w:t>Rnase Inhibitor</w:t>
            </w:r>
          </w:p>
        </w:tc>
        <w:tc>
          <w:tcPr>
            <w:tcW w:w="2230" w:type="dxa"/>
            <w:vAlign w:val="center"/>
          </w:tcPr>
          <w:p w:rsidR="00F704FE" w:rsidRDefault="00F704FE" w:rsidP="00F704FE">
            <w:pPr>
              <w:jc w:val="center"/>
            </w:pPr>
            <w:r>
              <w:t>1.0</w:t>
            </w:r>
          </w:p>
        </w:tc>
        <w:tc>
          <w:tcPr>
            <w:tcW w:w="1761" w:type="dxa"/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  <w:tc>
          <w:tcPr>
            <w:tcW w:w="3225" w:type="dxa"/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</w:tr>
      <w:tr w:rsidR="00F704FE" w:rsidTr="00F704FE">
        <w:trPr>
          <w:trHeight w:val="460"/>
        </w:trPr>
        <w:tc>
          <w:tcPr>
            <w:tcW w:w="3226" w:type="dxa"/>
            <w:tcBorders>
              <w:bottom w:val="single" w:sz="18" w:space="0" w:color="auto"/>
            </w:tcBorders>
            <w:vAlign w:val="center"/>
          </w:tcPr>
          <w:p w:rsidR="00F704FE" w:rsidRPr="0045236A" w:rsidRDefault="00F704FE" w:rsidP="00F704FE">
            <w:pPr>
              <w:jc w:val="center"/>
              <w:rPr>
                <w:i/>
              </w:rPr>
            </w:pPr>
            <w:r>
              <w:t>Molecular Grade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230" w:type="dxa"/>
            <w:tcBorders>
              <w:bottom w:val="single" w:sz="18" w:space="0" w:color="auto"/>
            </w:tcBorders>
            <w:vAlign w:val="center"/>
          </w:tcPr>
          <w:p w:rsidR="00F704FE" w:rsidRDefault="00F704FE" w:rsidP="00F704FE">
            <w:pPr>
              <w:jc w:val="center"/>
            </w:pPr>
            <w:r>
              <w:t>3.2</w:t>
            </w:r>
          </w:p>
        </w:tc>
        <w:tc>
          <w:tcPr>
            <w:tcW w:w="1761" w:type="dxa"/>
            <w:tcBorders>
              <w:bottom w:val="single" w:sz="18" w:space="0" w:color="auto"/>
            </w:tcBorders>
            <w:vAlign w:val="center"/>
          </w:tcPr>
          <w:p w:rsidR="00F704FE" w:rsidRDefault="00F704FE" w:rsidP="00F704FE">
            <w:pPr>
              <w:jc w:val="center"/>
            </w:pPr>
            <w:r>
              <w:t>18.5</w:t>
            </w:r>
          </w:p>
        </w:tc>
        <w:tc>
          <w:tcPr>
            <w:tcW w:w="3225" w:type="dxa"/>
            <w:tcBorders>
              <w:bottom w:val="single" w:sz="18" w:space="0" w:color="auto"/>
            </w:tcBorders>
            <w:vAlign w:val="center"/>
          </w:tcPr>
          <w:p w:rsidR="00F704FE" w:rsidRDefault="00F704FE" w:rsidP="00F704FE">
            <w:pPr>
              <w:jc w:val="center"/>
            </w:pPr>
            <w:r>
              <w:t>59.2</w:t>
            </w:r>
          </w:p>
        </w:tc>
      </w:tr>
      <w:tr w:rsidR="00F704FE" w:rsidTr="00F704FE">
        <w:trPr>
          <w:trHeight w:val="460"/>
        </w:trPr>
        <w:tc>
          <w:tcPr>
            <w:tcW w:w="3226" w:type="dxa"/>
            <w:tcBorders>
              <w:top w:val="single" w:sz="18" w:space="0" w:color="auto"/>
            </w:tcBorders>
            <w:vAlign w:val="center"/>
          </w:tcPr>
          <w:p w:rsidR="00F704FE" w:rsidRPr="001A4CC4" w:rsidRDefault="00F704FE" w:rsidP="00F704FE">
            <w:pPr>
              <w:jc w:val="center"/>
            </w:pPr>
            <w:r>
              <w:t>Total Volume</w:t>
            </w:r>
          </w:p>
        </w:tc>
        <w:tc>
          <w:tcPr>
            <w:tcW w:w="2230" w:type="dxa"/>
            <w:tcBorders>
              <w:top w:val="single" w:sz="18" w:space="0" w:color="auto"/>
            </w:tcBorders>
            <w:vAlign w:val="center"/>
          </w:tcPr>
          <w:p w:rsidR="00F704FE" w:rsidRPr="001A4CC4" w:rsidRDefault="00F704FE" w:rsidP="00F704FE">
            <w:pPr>
              <w:jc w:val="center"/>
            </w:pPr>
            <w:r>
              <w:t>10</w:t>
            </w:r>
          </w:p>
        </w:tc>
        <w:tc>
          <w:tcPr>
            <w:tcW w:w="1761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:rsidR="00F704FE" w:rsidRDefault="00F704FE" w:rsidP="00F704FE">
            <w:pPr>
              <w:jc w:val="center"/>
            </w:pPr>
          </w:p>
        </w:tc>
        <w:tc>
          <w:tcPr>
            <w:tcW w:w="32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04FE" w:rsidRPr="001A4CC4" w:rsidRDefault="00F704FE" w:rsidP="00F704FE">
            <w:pPr>
              <w:jc w:val="center"/>
            </w:pPr>
            <w:r>
              <w:t>185</w:t>
            </w:r>
          </w:p>
        </w:tc>
      </w:tr>
    </w:tbl>
    <w:p w:rsidR="00F82C8C" w:rsidRDefault="00F82C8C"/>
    <w:p w:rsidR="00F704FE" w:rsidRPr="00F704FE" w:rsidRDefault="00F704FE" w:rsidP="00F704FE">
      <w:pPr>
        <w:jc w:val="center"/>
        <w:rPr>
          <w:b/>
          <w:sz w:val="28"/>
        </w:rPr>
      </w:pPr>
      <w:r>
        <w:rPr>
          <w:b/>
          <w:sz w:val="28"/>
        </w:rPr>
        <w:t>RT – PCR Master Mix Ingredients</w:t>
      </w:r>
    </w:p>
    <w:sectPr w:rsidR="00F704FE" w:rsidRPr="00F70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FE"/>
    <w:rsid w:val="00427CA2"/>
    <w:rsid w:val="00F704FE"/>
    <w:rsid w:val="00F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1E38A-DDB9-45E7-A34A-45D750A7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F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4F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2015-03-10T19:04:00Z</dcterms:created>
  <dcterms:modified xsi:type="dcterms:W3CDTF">2015-03-10T19:04:00Z</dcterms:modified>
</cp:coreProperties>
</file>