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0D887" w14:textId="18DE8E39" w:rsidR="00112D8C" w:rsidRPr="00A657B6" w:rsidRDefault="00112D8C">
      <w:pPr>
        <w:rPr>
          <w:b/>
        </w:rPr>
      </w:pPr>
      <w:r w:rsidRPr="00A657B6">
        <w:rPr>
          <w:b/>
        </w:rPr>
        <w:t xml:space="preserve">JoVE Science Education Series: </w:t>
      </w:r>
      <w:r w:rsidR="006E270F" w:rsidRPr="00A657B6">
        <w:rPr>
          <w:b/>
        </w:rPr>
        <w:t xml:space="preserve">Environmental </w:t>
      </w:r>
      <w:r w:rsidR="001E5183" w:rsidRPr="00A657B6">
        <w:rPr>
          <w:b/>
        </w:rPr>
        <w:t xml:space="preserve">Science </w:t>
      </w:r>
      <w:r w:rsidRPr="00A657B6">
        <w:rPr>
          <w:b/>
        </w:rPr>
        <w:t>1</w:t>
      </w:r>
    </w:p>
    <w:p w14:paraId="67D429DB" w14:textId="61EFC80F" w:rsidR="00D96417" w:rsidRPr="00A657B6" w:rsidRDefault="00112D8C">
      <w:r w:rsidRPr="00A657B6">
        <w:rPr>
          <w:b/>
        </w:rPr>
        <w:t xml:space="preserve">Title: </w:t>
      </w:r>
      <w:r w:rsidRPr="00A657B6">
        <w:rPr>
          <w:rFonts w:ascii="Cambria" w:hAnsi="Cambria"/>
          <w:b/>
        </w:rPr>
        <w:t>Analyzing RNA-Based Environmental Organisms by Reverse Transcription-PCR</w:t>
      </w:r>
    </w:p>
    <w:p w14:paraId="7F362C0F" w14:textId="77777777" w:rsidR="006E270F" w:rsidRPr="00A657B6" w:rsidRDefault="006E270F"/>
    <w:p w14:paraId="59E3117F" w14:textId="77777777" w:rsidR="004D2FFC" w:rsidRPr="00A657B6" w:rsidRDefault="004D2FFC" w:rsidP="004D2FFC">
      <w:r w:rsidRPr="00A657B6">
        <w:rPr>
          <w:b/>
        </w:rPr>
        <w:t>Overview:</w:t>
      </w:r>
      <w:r w:rsidRPr="00A657B6">
        <w:t xml:space="preserve"> </w:t>
      </w:r>
    </w:p>
    <w:p w14:paraId="30313271" w14:textId="77777777" w:rsidR="00C26576" w:rsidRPr="00A657B6" w:rsidRDefault="00C26576" w:rsidP="004D2FFC"/>
    <w:p w14:paraId="0359AF26" w14:textId="7649C619" w:rsidR="003E634D" w:rsidRPr="00A657B6" w:rsidRDefault="003E634D" w:rsidP="003E634D">
      <w:r w:rsidRPr="00A657B6">
        <w:t xml:space="preserve">Reverse </w:t>
      </w:r>
      <w:r w:rsidR="00F22AD8">
        <w:t>t</w:t>
      </w:r>
      <w:r w:rsidRPr="00A657B6">
        <w:t>ranscript</w:t>
      </w:r>
      <w:r w:rsidR="00F22AD8">
        <w:t>ion –</w:t>
      </w:r>
      <w:r w:rsidRPr="00A657B6">
        <w:t xml:space="preserve"> </w:t>
      </w:r>
      <w:r w:rsidR="00F22AD8">
        <w:t>p</w:t>
      </w:r>
      <w:r w:rsidRPr="00A657B6">
        <w:t xml:space="preserve">olymerase </w:t>
      </w:r>
      <w:r w:rsidR="00F22AD8">
        <w:t>c</w:t>
      </w:r>
      <w:r w:rsidRPr="00A657B6">
        <w:t xml:space="preserve">hain </w:t>
      </w:r>
      <w:r w:rsidR="00F22AD8">
        <w:t>r</w:t>
      </w:r>
      <w:r w:rsidRPr="00A657B6">
        <w:t>eaction (RT-PCR) involves the same process as conventional PCR</w:t>
      </w:r>
      <w:r w:rsidR="007A575D">
        <w:t xml:space="preserve"> —</w:t>
      </w:r>
      <w:r w:rsidR="007A575D" w:rsidRPr="00A657B6">
        <w:t xml:space="preserve"> </w:t>
      </w:r>
      <w:r w:rsidRPr="00A657B6">
        <w:t xml:space="preserve">cycling temperature to amplify nucleic acids. However, </w:t>
      </w:r>
      <w:r w:rsidR="007A575D">
        <w:t xml:space="preserve">while </w:t>
      </w:r>
      <w:r w:rsidRPr="00A657B6">
        <w:t xml:space="preserve">conventional PCR </w:t>
      </w:r>
      <w:r w:rsidR="007A575D">
        <w:t xml:space="preserve">only </w:t>
      </w:r>
      <w:r w:rsidRPr="00A657B6">
        <w:t xml:space="preserve">amplifies deoxyribonucleic acids (DNA), RT-PCR </w:t>
      </w:r>
      <w:r w:rsidR="007A575D">
        <w:t>enables the amplification of</w:t>
      </w:r>
      <w:r w:rsidRPr="00A657B6">
        <w:t xml:space="preserve"> ribonucleic acids (RNA) through the formation of complementary DNA (</w:t>
      </w:r>
      <w:proofErr w:type="spellStart"/>
      <w:r w:rsidRPr="00A657B6">
        <w:t>cDNA</w:t>
      </w:r>
      <w:proofErr w:type="spellEnd"/>
      <w:r w:rsidRPr="00A657B6">
        <w:t>). This enabl</w:t>
      </w:r>
      <w:r w:rsidR="00F22AD8">
        <w:t>es</w:t>
      </w:r>
      <w:r w:rsidRPr="00A657B6">
        <w:t xml:space="preserve"> RNA</w:t>
      </w:r>
      <w:r w:rsidR="001242D3" w:rsidRPr="00A657B6">
        <w:t>-</w:t>
      </w:r>
      <w:r w:rsidRPr="00A657B6">
        <w:t>based organisms found within the environment to be analyzed utilizing methods and technologies that are designed for DNA.</w:t>
      </w:r>
    </w:p>
    <w:p w14:paraId="16B1AB33" w14:textId="0741A665" w:rsidR="003E634D" w:rsidRPr="00A657B6" w:rsidRDefault="003E634D" w:rsidP="003E634D">
      <w:r w:rsidRPr="00A657B6">
        <w:t xml:space="preserve">Many viruses found </w:t>
      </w:r>
      <w:r w:rsidR="004A766A">
        <w:t>in</w:t>
      </w:r>
      <w:r w:rsidR="004A766A" w:rsidRPr="00A657B6">
        <w:t xml:space="preserve"> </w:t>
      </w:r>
      <w:r w:rsidRPr="00A657B6">
        <w:t xml:space="preserve">the environment </w:t>
      </w:r>
      <w:r w:rsidR="004A766A">
        <w:t>use</w:t>
      </w:r>
      <w:r w:rsidR="004A766A" w:rsidRPr="00A657B6">
        <w:t xml:space="preserve"> </w:t>
      </w:r>
      <w:r w:rsidRPr="00A657B6">
        <w:t>RNA as their gen</w:t>
      </w:r>
      <w:r w:rsidR="004A766A">
        <w:t>et</w:t>
      </w:r>
      <w:r w:rsidRPr="00A657B6">
        <w:t>ic material. Several RNA</w:t>
      </w:r>
      <w:r w:rsidR="001242D3" w:rsidRPr="00A657B6">
        <w:t>-</w:t>
      </w:r>
      <w:r w:rsidRPr="00A657B6">
        <w:t xml:space="preserve">based viral pathogens, such as </w:t>
      </w:r>
      <w:proofErr w:type="spellStart"/>
      <w:r w:rsidRPr="00A657B6">
        <w:rPr>
          <w:i/>
        </w:rPr>
        <w:t>Norovirus</w:t>
      </w:r>
      <w:proofErr w:type="spellEnd"/>
      <w:r w:rsidRPr="00A657B6">
        <w:t xml:space="preserve">, and indicator organisms, such as </w:t>
      </w:r>
      <w:r w:rsidR="00F22AD8">
        <w:t>p</w:t>
      </w:r>
      <w:r w:rsidRPr="00A657B6">
        <w:t xml:space="preserve">epper </w:t>
      </w:r>
      <w:r w:rsidR="00F22AD8">
        <w:t>m</w:t>
      </w:r>
      <w:r w:rsidRPr="00A657B6">
        <w:t xml:space="preserve">ild </w:t>
      </w:r>
      <w:r w:rsidR="00F22AD8">
        <w:t>m</w:t>
      </w:r>
      <w:r w:rsidRPr="00A657B6">
        <w:t xml:space="preserve">ottle </w:t>
      </w:r>
      <w:r w:rsidR="00F22AD8">
        <w:t>v</w:t>
      </w:r>
      <w:r w:rsidRPr="00A657B6">
        <w:t>irus (</w:t>
      </w:r>
      <w:proofErr w:type="spellStart"/>
      <w:r w:rsidRPr="00A657B6">
        <w:t>PMMoV</w:t>
      </w:r>
      <w:proofErr w:type="spellEnd"/>
      <w:r w:rsidRPr="00A657B6">
        <w:t xml:space="preserve">), do not have culture-based detection methods for quantification. In order to </w:t>
      </w:r>
      <w:r w:rsidR="00FA25CB">
        <w:t>detect for</w:t>
      </w:r>
      <w:r w:rsidR="00FA25CB" w:rsidRPr="00A657B6">
        <w:t xml:space="preserve"> </w:t>
      </w:r>
      <w:r w:rsidRPr="00A657B6">
        <w:t xml:space="preserve">the presence of </w:t>
      </w:r>
      <w:r w:rsidR="00FA25CB">
        <w:t xml:space="preserve">these </w:t>
      </w:r>
      <w:r w:rsidRPr="00A657B6">
        <w:t xml:space="preserve">RNA viruses </w:t>
      </w:r>
      <w:r w:rsidR="004A766A">
        <w:t>in environmental samples from</w:t>
      </w:r>
      <w:r w:rsidR="004A766A" w:rsidRPr="00A657B6">
        <w:t xml:space="preserve"> </w:t>
      </w:r>
      <w:r w:rsidRPr="00A657B6">
        <w:t xml:space="preserve">soil, water, agriculture, </w:t>
      </w:r>
      <w:r w:rsidRPr="00B96FDF">
        <w:rPr>
          <w:i/>
        </w:rPr>
        <w:t>etc.</w:t>
      </w:r>
      <w:r w:rsidR="001242D3" w:rsidRPr="00A657B6">
        <w:t>,</w:t>
      </w:r>
      <w:r w:rsidRPr="00A657B6">
        <w:t xml:space="preserve"> molecular assays rely on RT-PCR </w:t>
      </w:r>
      <w:r w:rsidR="00FA25CB">
        <w:t>to convert RNA into DNA</w:t>
      </w:r>
      <w:r w:rsidRPr="00A657B6">
        <w:t>. Without RT-PCR, microbiologists would not be able to assay and research numerous RNA</w:t>
      </w:r>
      <w:r w:rsidR="001242D3" w:rsidRPr="00A657B6">
        <w:t>-</w:t>
      </w:r>
      <w:r w:rsidRPr="00A657B6">
        <w:t>based viruses that pose risks to human and environmental health.</w:t>
      </w:r>
    </w:p>
    <w:p w14:paraId="13B413F2" w14:textId="65138510" w:rsidR="00C04394" w:rsidRPr="00A657B6" w:rsidRDefault="00C04394" w:rsidP="003E634D"/>
    <w:p w14:paraId="39017445" w14:textId="5F45DC35" w:rsidR="003E634D" w:rsidRPr="00A657B6" w:rsidRDefault="003E634D" w:rsidP="003E634D">
      <w:r w:rsidRPr="00A657B6">
        <w:t>RT-PCR can also be employed as a tool to measure microbial activity in the environment</w:t>
      </w:r>
      <w:r w:rsidR="00CD5A4E">
        <w:t>.</w:t>
      </w:r>
      <w:r w:rsidRPr="00A657B6">
        <w:t xml:space="preserve"> </w:t>
      </w:r>
      <w:r w:rsidR="00CD5A4E">
        <w:t>M</w:t>
      </w:r>
      <w:r w:rsidRPr="00A657B6">
        <w:t>essenger RNA (mRNA) is the single</w:t>
      </w:r>
      <w:r w:rsidR="00E9682F" w:rsidRPr="00A657B6">
        <w:t>-</w:t>
      </w:r>
      <w:r w:rsidRPr="00A657B6">
        <w:t>stranded template for protein translation</w:t>
      </w:r>
      <w:r w:rsidR="00CD5A4E">
        <w:t>, and measuring the levels of different mRNAs</w:t>
      </w:r>
      <w:r w:rsidRPr="00A657B6">
        <w:t xml:space="preserve"> indicates which genes </w:t>
      </w:r>
      <w:r w:rsidR="00C16DF4">
        <w:t xml:space="preserve">from which </w:t>
      </w:r>
      <w:r w:rsidRPr="00A657B6">
        <w:t xml:space="preserve">microbes are </w:t>
      </w:r>
      <w:r w:rsidR="00C16DF4">
        <w:t>being expressed</w:t>
      </w:r>
      <w:r w:rsidRPr="00A657B6">
        <w:t xml:space="preserve"> within the environment. Analyzing gene expression gives clues </w:t>
      </w:r>
      <w:r w:rsidR="00E9682F" w:rsidRPr="00A657B6">
        <w:t>to</w:t>
      </w:r>
      <w:r w:rsidRPr="00A657B6">
        <w:t xml:space="preserve"> what </w:t>
      </w:r>
      <w:r w:rsidR="00C16DF4">
        <w:t xml:space="preserve">biological pathways are used by organisms </w:t>
      </w:r>
      <w:r w:rsidRPr="00A657B6">
        <w:t xml:space="preserve">to survive in </w:t>
      </w:r>
      <w:r w:rsidR="004D04E5">
        <w:t xml:space="preserve">different </w:t>
      </w:r>
      <w:r w:rsidRPr="00A657B6">
        <w:t xml:space="preserve">environmental conditions. In some cases, gene expression can be utilized to determine which organisms may survive best in harsh conditions and have capabilities for bioremediation </w:t>
      </w:r>
      <w:r w:rsidR="00C16DF4">
        <w:t>of</w:t>
      </w:r>
      <w:r w:rsidR="00C16DF4" w:rsidRPr="00A657B6">
        <w:t xml:space="preserve"> </w:t>
      </w:r>
      <w:r w:rsidRPr="00A657B6">
        <w:t xml:space="preserve">contaminated soil or water. </w:t>
      </w:r>
    </w:p>
    <w:p w14:paraId="025C9F3B" w14:textId="38E497C5" w:rsidR="00C04394" w:rsidRDefault="00C04394" w:rsidP="003E634D"/>
    <w:p w14:paraId="69CC6352" w14:textId="69168E1F" w:rsidR="00AC18A2" w:rsidRPr="00A657B6" w:rsidRDefault="00AC18A2" w:rsidP="00AC18A2">
      <w:r w:rsidRPr="00A657B6">
        <w:rPr>
          <w:b/>
        </w:rPr>
        <w:t>Pr</w:t>
      </w:r>
      <w:r>
        <w:rPr>
          <w:b/>
        </w:rPr>
        <w:t>incipl</w:t>
      </w:r>
      <w:r w:rsidRPr="00A657B6">
        <w:rPr>
          <w:b/>
        </w:rPr>
        <w:t>e</w:t>
      </w:r>
      <w:r>
        <w:rPr>
          <w:b/>
        </w:rPr>
        <w:t>s of RT-PCR</w:t>
      </w:r>
      <w:r w:rsidRPr="00A657B6">
        <w:rPr>
          <w:b/>
        </w:rPr>
        <w:t>:</w:t>
      </w:r>
      <w:r w:rsidRPr="00A657B6">
        <w:t xml:space="preserve"> </w:t>
      </w:r>
    </w:p>
    <w:p w14:paraId="21769ED8" w14:textId="77777777" w:rsidR="00AC18A2" w:rsidRPr="00A657B6" w:rsidRDefault="00AC18A2" w:rsidP="003E634D"/>
    <w:p w14:paraId="02B069E8" w14:textId="0824A5C6" w:rsidR="00AC18A2" w:rsidRPr="00A657B6" w:rsidRDefault="00AC18A2" w:rsidP="00AC18A2">
      <w:r w:rsidRPr="00A657B6">
        <w:t xml:space="preserve">PCR </w:t>
      </w:r>
      <w:r w:rsidR="009C716B">
        <w:t xml:space="preserve">is based </w:t>
      </w:r>
      <w:r w:rsidRPr="00A657B6">
        <w:t xml:space="preserve">on </w:t>
      </w:r>
      <w:r w:rsidR="009C716B">
        <w:t>the amplification of DNA</w:t>
      </w:r>
      <w:r w:rsidRPr="00A657B6">
        <w:t xml:space="preserve"> templates, </w:t>
      </w:r>
      <w:r w:rsidR="009C716B">
        <w:t>which limits its use in detecting</w:t>
      </w:r>
      <w:r w:rsidRPr="00A657B6">
        <w:t xml:space="preserve"> RNA from organisms. However, RT-PCR provides a means for </w:t>
      </w:r>
      <w:r w:rsidR="002E092B">
        <w:t xml:space="preserve">using </w:t>
      </w:r>
      <w:r w:rsidRPr="00A657B6">
        <w:t xml:space="preserve">RNA to </w:t>
      </w:r>
      <w:r w:rsidR="002E092B">
        <w:t>produce</w:t>
      </w:r>
      <w:r w:rsidRPr="00A657B6">
        <w:t xml:space="preserve"> </w:t>
      </w:r>
      <w:proofErr w:type="spellStart"/>
      <w:r w:rsidRPr="00A657B6">
        <w:t>cDNA</w:t>
      </w:r>
      <w:proofErr w:type="spellEnd"/>
      <w:r w:rsidRPr="00A657B6">
        <w:t xml:space="preserve"> </w:t>
      </w:r>
      <w:r w:rsidR="009C716B">
        <w:t>using</w:t>
      </w:r>
      <w:r w:rsidRPr="00A657B6">
        <w:t xml:space="preserve"> specialized enzymes, known as reverse transcriptase</w:t>
      </w:r>
      <w:r w:rsidR="00F22AD8">
        <w:t xml:space="preserve"> (RT)</w:t>
      </w:r>
      <w:r w:rsidRPr="00A657B6">
        <w:t xml:space="preserve">. </w:t>
      </w:r>
      <w:r w:rsidR="002E092B">
        <w:t>This</w:t>
      </w:r>
      <w:r w:rsidRPr="00A657B6">
        <w:t xml:space="preserve"> </w:t>
      </w:r>
      <w:proofErr w:type="spellStart"/>
      <w:r w:rsidRPr="00A657B6">
        <w:t>cDNA</w:t>
      </w:r>
      <w:proofErr w:type="spellEnd"/>
      <w:r w:rsidRPr="00A657B6">
        <w:t xml:space="preserve"> </w:t>
      </w:r>
      <w:r w:rsidR="002E092B">
        <w:t xml:space="preserve">can then be used </w:t>
      </w:r>
      <w:r w:rsidRPr="00A657B6">
        <w:t xml:space="preserve">as the starting template for </w:t>
      </w:r>
      <w:r w:rsidR="002E092B">
        <w:t>subsequent amplification with conventional PCR</w:t>
      </w:r>
      <w:r w:rsidR="001B08B5">
        <w:t xml:space="preserve"> (</w:t>
      </w:r>
      <w:r w:rsidR="001B08B5">
        <w:rPr>
          <w:b/>
        </w:rPr>
        <w:t>Figure 1</w:t>
      </w:r>
      <w:r w:rsidR="001B08B5">
        <w:t>)</w:t>
      </w:r>
      <w:r w:rsidR="00B96FDF">
        <w:t>.</w:t>
      </w:r>
    </w:p>
    <w:p w14:paraId="44DB8C6C" w14:textId="77777777" w:rsidR="00AC18A2" w:rsidRPr="00A657B6" w:rsidRDefault="00AC18A2" w:rsidP="00AC18A2"/>
    <w:p w14:paraId="07D647C2" w14:textId="07208000" w:rsidR="003E634D" w:rsidRDefault="003E634D" w:rsidP="003E634D">
      <w:r w:rsidRPr="00A657B6">
        <w:t>Reverse transcription can be controlled to amplify only desired products or an entire community of nucleic acids found within an environmental sample</w:t>
      </w:r>
      <w:r w:rsidR="00D9335B">
        <w:t xml:space="preserve">, depending on the primers that are used to template the </w:t>
      </w:r>
      <w:proofErr w:type="spellStart"/>
      <w:r w:rsidR="00D9335B">
        <w:t>cDNA</w:t>
      </w:r>
      <w:proofErr w:type="spellEnd"/>
      <w:r w:rsidR="00D9335B">
        <w:t xml:space="preserve"> synthesis</w:t>
      </w:r>
      <w:r w:rsidRPr="00A657B6">
        <w:t>. This is important, as soil and water samples are often saturated with various nucleic acids that are</w:t>
      </w:r>
      <w:r w:rsidR="00E9682F" w:rsidRPr="00A657B6">
        <w:t>n’</w:t>
      </w:r>
      <w:r w:rsidRPr="00A657B6">
        <w:t>t desired for specific analyses. Random primers</w:t>
      </w:r>
      <w:r w:rsidR="00D9335B">
        <w:t>, which can bind to RNA</w:t>
      </w:r>
      <w:r w:rsidRPr="00A657B6">
        <w:t xml:space="preserve"> </w:t>
      </w:r>
      <w:r w:rsidR="00D9335B" w:rsidRPr="00A657B6">
        <w:t xml:space="preserve">sequences found </w:t>
      </w:r>
      <w:r w:rsidR="00D9335B">
        <w:t>in</w:t>
      </w:r>
      <w:r w:rsidR="00D9335B" w:rsidRPr="00A657B6">
        <w:t xml:space="preserve"> any type of microbes</w:t>
      </w:r>
      <w:r w:rsidR="00D9335B">
        <w:t>,</w:t>
      </w:r>
      <w:r w:rsidR="00D9335B" w:rsidRPr="00A657B6" w:rsidDel="00D9335B">
        <w:t xml:space="preserve"> </w:t>
      </w:r>
      <w:r w:rsidR="00D9335B">
        <w:t>can be</w:t>
      </w:r>
      <w:r w:rsidRPr="00A657B6">
        <w:t xml:space="preserve"> </w:t>
      </w:r>
      <w:r w:rsidR="00F22AD8">
        <w:t>used in</w:t>
      </w:r>
      <w:r w:rsidRPr="00A657B6">
        <w:t xml:space="preserve"> RT-PCR to </w:t>
      </w:r>
      <w:r w:rsidR="00D9335B">
        <w:t>detect</w:t>
      </w:r>
      <w:r w:rsidRPr="00A657B6">
        <w:t xml:space="preserve"> </w:t>
      </w:r>
      <w:r w:rsidR="00D9335B">
        <w:t>most RNA</w:t>
      </w:r>
      <w:r w:rsidRPr="00A657B6">
        <w:t xml:space="preserve">, so the sample can be analyzed for </w:t>
      </w:r>
      <w:r w:rsidR="0062216E">
        <w:t xml:space="preserve">the presence and relative abundance of </w:t>
      </w:r>
      <w:r w:rsidRPr="00A657B6">
        <w:t xml:space="preserve">multiple organisms in the environment. </w:t>
      </w:r>
      <w:r w:rsidR="00174283">
        <w:t>On the other hand</w:t>
      </w:r>
      <w:r w:rsidRPr="00A657B6">
        <w:t xml:space="preserve">, </w:t>
      </w:r>
      <w:r w:rsidR="00174283">
        <w:t>sequence-</w:t>
      </w:r>
      <w:r w:rsidRPr="00A657B6">
        <w:t xml:space="preserve">specific primers initiate </w:t>
      </w:r>
      <w:proofErr w:type="spellStart"/>
      <w:r w:rsidRPr="00A657B6">
        <w:t>cDNA</w:t>
      </w:r>
      <w:proofErr w:type="spellEnd"/>
      <w:r w:rsidRPr="00A657B6">
        <w:t xml:space="preserve"> </w:t>
      </w:r>
      <w:r w:rsidR="00174283">
        <w:t>synthesis</w:t>
      </w:r>
      <w:r w:rsidR="00174283" w:rsidRPr="00A657B6">
        <w:t xml:space="preserve"> </w:t>
      </w:r>
      <w:r w:rsidRPr="00A657B6">
        <w:t xml:space="preserve">for precise sequences found in only one </w:t>
      </w:r>
      <w:r w:rsidR="00F22AD8">
        <w:t xml:space="preserve">or a few </w:t>
      </w:r>
      <w:r w:rsidRPr="00A657B6">
        <w:t>organism</w:t>
      </w:r>
      <w:r w:rsidR="00F22AD8">
        <w:t>s</w:t>
      </w:r>
      <w:r w:rsidRPr="00A657B6">
        <w:t xml:space="preserve">. This allows an environmental sample to be tested for a </w:t>
      </w:r>
      <w:r w:rsidR="00174283">
        <w:t>specific</w:t>
      </w:r>
      <w:r w:rsidR="00174283" w:rsidRPr="00A657B6">
        <w:t xml:space="preserve"> </w:t>
      </w:r>
      <w:r w:rsidRPr="00A657B6">
        <w:t xml:space="preserve">purpose, such as determining whether </w:t>
      </w:r>
      <w:proofErr w:type="spellStart"/>
      <w:r w:rsidRPr="00A657B6">
        <w:rPr>
          <w:i/>
        </w:rPr>
        <w:t>Norovirus</w:t>
      </w:r>
      <w:proofErr w:type="spellEnd"/>
      <w:r w:rsidR="00E9682F" w:rsidRPr="00A657B6">
        <w:t xml:space="preserve">, which can cause gastrointestinal illnesses </w:t>
      </w:r>
      <w:r w:rsidR="008B4C98">
        <w:t>in</w:t>
      </w:r>
      <w:r w:rsidR="008B4C98" w:rsidRPr="00A657B6">
        <w:t xml:space="preserve"> </w:t>
      </w:r>
      <w:r w:rsidR="00E9682F" w:rsidRPr="00A657B6">
        <w:t>human,</w:t>
      </w:r>
      <w:r w:rsidRPr="00A657B6">
        <w:t xml:space="preserve"> is present in water. </w:t>
      </w:r>
    </w:p>
    <w:p w14:paraId="46669A2E" w14:textId="77777777" w:rsidR="001B08B5" w:rsidRPr="00A657B6" w:rsidRDefault="001B08B5" w:rsidP="003E634D"/>
    <w:p w14:paraId="2F7569BF" w14:textId="342F5D86" w:rsidR="001B08B5" w:rsidRPr="001B08B5" w:rsidRDefault="001B08B5" w:rsidP="001B08B5">
      <w:pPr>
        <w:rPr>
          <w:b/>
        </w:rPr>
      </w:pPr>
      <w:r w:rsidRPr="001B08B5">
        <w:rPr>
          <w:b/>
        </w:rPr>
        <w:t>Figure 1. Step-by-step process of RT-PCR analysis of environmental RNA samples.</w:t>
      </w:r>
    </w:p>
    <w:p w14:paraId="3FAC156C" w14:textId="77777777" w:rsidR="001D3B00" w:rsidRPr="00A657B6" w:rsidRDefault="001D3B00" w:rsidP="004D2FFC">
      <w:pPr>
        <w:rPr>
          <w:b/>
        </w:rPr>
      </w:pPr>
    </w:p>
    <w:p w14:paraId="74E421ED" w14:textId="14FEBBCD" w:rsidR="0092334B" w:rsidRPr="00A657B6" w:rsidRDefault="004D2FFC" w:rsidP="004D2FFC">
      <w:r w:rsidRPr="00A657B6">
        <w:rPr>
          <w:b/>
        </w:rPr>
        <w:t>Procedure:</w:t>
      </w:r>
      <w:r w:rsidRPr="00A657B6">
        <w:t xml:space="preserve"> </w:t>
      </w:r>
    </w:p>
    <w:p w14:paraId="0B776E0F" w14:textId="77777777" w:rsidR="00DA2880" w:rsidRPr="00A657B6" w:rsidRDefault="00DA2880" w:rsidP="004D2FFC"/>
    <w:p w14:paraId="1BE2FE86" w14:textId="1823B81F" w:rsidR="0092334B" w:rsidRDefault="0092334B" w:rsidP="00A12A08">
      <w:pPr>
        <w:pStyle w:val="ListParagraph"/>
        <w:numPr>
          <w:ilvl w:val="0"/>
          <w:numId w:val="32"/>
        </w:numPr>
      </w:pPr>
      <w:r w:rsidRPr="00A657B6">
        <w:t>Sample Collection</w:t>
      </w:r>
      <w:r w:rsidR="001269FF">
        <w:t>: Soil sample</w:t>
      </w:r>
    </w:p>
    <w:p w14:paraId="7DCF3FA4" w14:textId="77777777" w:rsidR="001269FF" w:rsidRDefault="001269FF" w:rsidP="00C954A7">
      <w:pPr>
        <w:pStyle w:val="ListParagraph"/>
        <w:ind w:left="360"/>
      </w:pPr>
    </w:p>
    <w:p w14:paraId="73896A1F" w14:textId="3403F2A8" w:rsidR="003E634D" w:rsidRDefault="00082371" w:rsidP="001351E7">
      <w:pPr>
        <w:pStyle w:val="ListParagraph"/>
        <w:numPr>
          <w:ilvl w:val="1"/>
          <w:numId w:val="32"/>
        </w:numPr>
      </w:pPr>
      <w:r w:rsidRPr="00A657B6">
        <w:t>Find a s</w:t>
      </w:r>
      <w:r w:rsidR="003E634D" w:rsidRPr="00A657B6">
        <w:t>ample location via GPS, coordinates, or sight.</w:t>
      </w:r>
    </w:p>
    <w:p w14:paraId="2D64883D" w14:textId="77777777" w:rsidR="00C954A7" w:rsidRDefault="00C954A7" w:rsidP="00C954A7">
      <w:pPr>
        <w:pStyle w:val="ListParagraph"/>
        <w:ind w:left="792"/>
      </w:pPr>
    </w:p>
    <w:p w14:paraId="6AF768B3" w14:textId="392B0578" w:rsidR="00C954A7" w:rsidRPr="001351E7" w:rsidRDefault="00C954A7" w:rsidP="001351E7">
      <w:pPr>
        <w:pStyle w:val="ListParagraph"/>
        <w:numPr>
          <w:ilvl w:val="1"/>
          <w:numId w:val="32"/>
        </w:numPr>
      </w:pPr>
      <w:r>
        <w:t xml:space="preserve">For </w:t>
      </w:r>
      <w:r>
        <w:rPr>
          <w:rFonts w:ascii="Cambria" w:hAnsi="Cambria"/>
        </w:rPr>
        <w:t>r</w:t>
      </w:r>
      <w:r w:rsidRPr="00C954A7">
        <w:rPr>
          <w:rFonts w:ascii="Cambria" w:hAnsi="Cambria"/>
        </w:rPr>
        <w:t xml:space="preserve">andom sampling, </w:t>
      </w:r>
      <w:r w:rsidR="00463068" w:rsidRPr="001351E7">
        <w:rPr>
          <w:rFonts w:ascii="Cambria" w:hAnsi="Cambria"/>
        </w:rPr>
        <w:t>choos</w:t>
      </w:r>
      <w:r>
        <w:rPr>
          <w:rFonts w:ascii="Cambria" w:hAnsi="Cambria"/>
        </w:rPr>
        <w:t>e</w:t>
      </w:r>
      <w:r w:rsidR="00463068" w:rsidRPr="001351E7">
        <w:rPr>
          <w:rFonts w:ascii="Cambria" w:hAnsi="Cambria"/>
        </w:rPr>
        <w:t xml:space="preserve"> random points within an area to get a general </w:t>
      </w:r>
      <w:r>
        <w:rPr>
          <w:rFonts w:ascii="Cambria" w:hAnsi="Cambria"/>
        </w:rPr>
        <w:t>census</w:t>
      </w:r>
      <w:r w:rsidR="00463068" w:rsidRPr="001351E7">
        <w:rPr>
          <w:rFonts w:ascii="Cambria" w:hAnsi="Cambria"/>
        </w:rPr>
        <w:t xml:space="preserve"> of microbial habitats. Transect sampling collects from points along a straight line, </w:t>
      </w:r>
      <w:r w:rsidR="00E02652">
        <w:rPr>
          <w:rFonts w:ascii="Cambria" w:hAnsi="Cambria"/>
          <w:i/>
        </w:rPr>
        <w:t>e.g.</w:t>
      </w:r>
      <w:r>
        <w:rPr>
          <w:rFonts w:ascii="Cambria" w:hAnsi="Cambria"/>
        </w:rPr>
        <w:t>,</w:t>
      </w:r>
      <w:r w:rsidR="00463068" w:rsidRPr="001351E7">
        <w:rPr>
          <w:rFonts w:ascii="Cambria" w:hAnsi="Cambria"/>
        </w:rPr>
        <w:t xml:space="preserve"> adjacent to a streambed. Grid samples are systematically taken from points </w:t>
      </w:r>
      <w:r>
        <w:rPr>
          <w:rFonts w:ascii="Cambria" w:hAnsi="Cambria"/>
        </w:rPr>
        <w:t>at regular</w:t>
      </w:r>
      <w:r w:rsidR="00463068" w:rsidRPr="001351E7">
        <w:rPr>
          <w:rFonts w:ascii="Cambria" w:hAnsi="Cambria"/>
        </w:rPr>
        <w:t xml:space="preserve"> interval</w:t>
      </w:r>
      <w:r>
        <w:rPr>
          <w:rFonts w:ascii="Cambria" w:hAnsi="Cambria"/>
        </w:rPr>
        <w:t>s</w:t>
      </w:r>
      <w:r w:rsidR="00463068" w:rsidRPr="001351E7">
        <w:rPr>
          <w:rFonts w:ascii="Cambria" w:hAnsi="Cambria"/>
        </w:rPr>
        <w:t xml:space="preserve">, </w:t>
      </w:r>
      <w:r>
        <w:rPr>
          <w:rFonts w:ascii="Cambria" w:hAnsi="Cambria"/>
        </w:rPr>
        <w:t xml:space="preserve">and are </w:t>
      </w:r>
      <w:r w:rsidR="00463068" w:rsidRPr="001351E7">
        <w:rPr>
          <w:rFonts w:ascii="Cambria" w:hAnsi="Cambria"/>
        </w:rPr>
        <w:t xml:space="preserve">useful for mapping microbial communities in an unknown or variable area. </w:t>
      </w:r>
    </w:p>
    <w:p w14:paraId="1972CB9A" w14:textId="77777777" w:rsidR="00C954A7" w:rsidRPr="001351E7" w:rsidRDefault="00C954A7" w:rsidP="001351E7">
      <w:pPr>
        <w:pStyle w:val="ListParagraph"/>
        <w:ind w:left="792"/>
      </w:pPr>
    </w:p>
    <w:p w14:paraId="1D4FD0F4" w14:textId="6304F1A9" w:rsidR="00463068" w:rsidRPr="001351E7" w:rsidRDefault="00463068" w:rsidP="001351E7">
      <w:pPr>
        <w:pStyle w:val="ListParagraph"/>
        <w:numPr>
          <w:ilvl w:val="1"/>
          <w:numId w:val="32"/>
        </w:numPr>
      </w:pPr>
      <w:r w:rsidRPr="001351E7">
        <w:rPr>
          <w:rFonts w:ascii="Cambria" w:hAnsi="Cambria"/>
        </w:rPr>
        <w:t>Sampling within a 3-6 inch</w:t>
      </w:r>
      <w:r w:rsidR="00C954A7">
        <w:rPr>
          <w:rFonts w:ascii="Cambria" w:hAnsi="Cambria"/>
        </w:rPr>
        <w:t xml:space="preserve"> (7.5-15 cm)</w:t>
      </w:r>
      <w:r w:rsidRPr="001351E7">
        <w:rPr>
          <w:rFonts w:ascii="Cambria" w:hAnsi="Cambria"/>
        </w:rPr>
        <w:t xml:space="preserve"> depth </w:t>
      </w:r>
      <w:r w:rsidR="00C954A7">
        <w:rPr>
          <w:rFonts w:ascii="Cambria" w:hAnsi="Cambria"/>
        </w:rPr>
        <w:t>provides access to</w:t>
      </w:r>
      <w:r w:rsidRPr="001351E7">
        <w:rPr>
          <w:rFonts w:ascii="Cambria" w:hAnsi="Cambria"/>
        </w:rPr>
        <w:t xml:space="preserve"> the most abundant microbial activity that is near</w:t>
      </w:r>
      <w:r w:rsidR="00C954A7">
        <w:rPr>
          <w:rFonts w:ascii="Cambria" w:hAnsi="Cambria"/>
        </w:rPr>
        <w:t>, but not within,</w:t>
      </w:r>
      <w:r w:rsidRPr="001351E7">
        <w:rPr>
          <w:rFonts w:ascii="Cambria" w:hAnsi="Cambria"/>
        </w:rPr>
        <w:t xml:space="preserve"> the </w:t>
      </w:r>
      <w:proofErr w:type="spellStart"/>
      <w:r w:rsidRPr="001351E7">
        <w:rPr>
          <w:rFonts w:ascii="Cambria" w:hAnsi="Cambria"/>
        </w:rPr>
        <w:t>rhizosphere</w:t>
      </w:r>
      <w:proofErr w:type="spellEnd"/>
      <w:r w:rsidRPr="001351E7">
        <w:rPr>
          <w:rFonts w:ascii="Cambria" w:hAnsi="Cambria"/>
        </w:rPr>
        <w:t xml:space="preserve"> (</w:t>
      </w:r>
      <w:r w:rsidR="00C954A7">
        <w:rPr>
          <w:rFonts w:ascii="Cambria" w:hAnsi="Cambria"/>
        </w:rPr>
        <w:t>the narrow region of soil directly affected by plant roots and their associated microorganisms</w:t>
      </w:r>
      <w:r w:rsidR="00C954A7" w:rsidRPr="00C954A7">
        <w:rPr>
          <w:rFonts w:ascii="Cambria" w:hAnsi="Cambria"/>
        </w:rPr>
        <w:t xml:space="preserve">). </w:t>
      </w:r>
    </w:p>
    <w:p w14:paraId="7CF57FFC" w14:textId="77777777" w:rsidR="003640D7" w:rsidRPr="001351E7" w:rsidRDefault="003640D7" w:rsidP="00820908">
      <w:pPr>
        <w:pStyle w:val="ListParagraph"/>
        <w:ind w:left="1224"/>
      </w:pPr>
    </w:p>
    <w:p w14:paraId="36D9561D" w14:textId="6E0F976F" w:rsidR="003E634D" w:rsidRPr="00A657B6" w:rsidRDefault="001351E7" w:rsidP="001351E7">
      <w:pPr>
        <w:pStyle w:val="ListParagraph"/>
        <w:numPr>
          <w:ilvl w:val="1"/>
          <w:numId w:val="32"/>
        </w:numPr>
      </w:pPr>
      <w:r>
        <w:t>To collect the soil sample, p</w:t>
      </w:r>
      <w:r w:rsidR="00082371" w:rsidRPr="00A657B6">
        <w:t>ush and twist a h</w:t>
      </w:r>
      <w:r w:rsidR="003E634D" w:rsidRPr="00A657B6">
        <w:t xml:space="preserve">and auger into the ground to </w:t>
      </w:r>
      <w:r>
        <w:t>the</w:t>
      </w:r>
      <w:r w:rsidR="003E634D" w:rsidRPr="00A657B6">
        <w:t xml:space="preserve"> predetermined depth.</w:t>
      </w:r>
    </w:p>
    <w:p w14:paraId="713BDAC2" w14:textId="77777777" w:rsidR="003640D7" w:rsidRPr="00A657B6" w:rsidRDefault="003640D7" w:rsidP="001351E7">
      <w:pPr>
        <w:pStyle w:val="ListParagraph"/>
        <w:ind w:left="864"/>
      </w:pPr>
    </w:p>
    <w:p w14:paraId="06DF88F8" w14:textId="5A62BB6D" w:rsidR="003E634D" w:rsidRPr="00A657B6" w:rsidRDefault="00082371" w:rsidP="001351E7">
      <w:pPr>
        <w:pStyle w:val="ListParagraph"/>
        <w:numPr>
          <w:ilvl w:val="1"/>
          <w:numId w:val="32"/>
        </w:numPr>
      </w:pPr>
      <w:r w:rsidRPr="00A657B6">
        <w:t>Lift the auger. The</w:t>
      </w:r>
      <w:r w:rsidR="003E634D" w:rsidRPr="00A657B6">
        <w:t xml:space="preserve"> soil is found within the hollow stem of the auger.</w:t>
      </w:r>
    </w:p>
    <w:p w14:paraId="20443A31" w14:textId="77777777" w:rsidR="003640D7" w:rsidRPr="00A657B6" w:rsidRDefault="003640D7" w:rsidP="001351E7">
      <w:pPr>
        <w:pStyle w:val="ListParagraph"/>
        <w:ind w:left="864"/>
      </w:pPr>
    </w:p>
    <w:p w14:paraId="3183598F" w14:textId="6F1CC7A2" w:rsidR="003E634D" w:rsidRPr="00A657B6" w:rsidRDefault="00082371" w:rsidP="001351E7">
      <w:pPr>
        <w:pStyle w:val="ListParagraph"/>
        <w:numPr>
          <w:ilvl w:val="1"/>
          <w:numId w:val="32"/>
        </w:numPr>
      </w:pPr>
      <w:r w:rsidRPr="00A657B6">
        <w:t>Scrape the s</w:t>
      </w:r>
      <w:r w:rsidR="003E634D" w:rsidRPr="00A657B6">
        <w:t xml:space="preserve">oil at </w:t>
      </w:r>
      <w:r w:rsidRPr="00A657B6">
        <w:t xml:space="preserve">the </w:t>
      </w:r>
      <w:r w:rsidR="003E634D" w:rsidRPr="00A657B6">
        <w:t xml:space="preserve">bottom of the auger </w:t>
      </w:r>
      <w:r w:rsidRPr="00A657B6">
        <w:t>i</w:t>
      </w:r>
      <w:r w:rsidR="003E634D" w:rsidRPr="00A657B6">
        <w:t>nto a soil collection bag.</w:t>
      </w:r>
      <w:r w:rsidR="001351E7">
        <w:t xml:space="preserve"> </w:t>
      </w:r>
      <w:r w:rsidR="003E634D" w:rsidRPr="00A657B6">
        <w:t xml:space="preserve">Be sure not to touch or contaminate </w:t>
      </w:r>
      <w:r w:rsidRPr="00A657B6">
        <w:t xml:space="preserve">the </w:t>
      </w:r>
      <w:r w:rsidR="003E634D" w:rsidRPr="00A657B6">
        <w:t>soil.</w:t>
      </w:r>
    </w:p>
    <w:p w14:paraId="6775E6AB" w14:textId="77777777" w:rsidR="003640D7" w:rsidRPr="00A657B6" w:rsidRDefault="003640D7" w:rsidP="001351E7">
      <w:pPr>
        <w:pStyle w:val="ListParagraph"/>
        <w:ind w:left="864"/>
      </w:pPr>
    </w:p>
    <w:p w14:paraId="675E898B" w14:textId="56355231" w:rsidR="003E634D" w:rsidRPr="00A657B6" w:rsidRDefault="00082371" w:rsidP="001351E7">
      <w:pPr>
        <w:pStyle w:val="ListParagraph"/>
        <w:numPr>
          <w:ilvl w:val="1"/>
          <w:numId w:val="32"/>
        </w:numPr>
      </w:pPr>
      <w:r w:rsidRPr="00A657B6">
        <w:t>Label the b</w:t>
      </w:r>
      <w:r w:rsidR="003E634D" w:rsidRPr="00A657B6">
        <w:t xml:space="preserve">ag properly with location, name, date, and time. </w:t>
      </w:r>
    </w:p>
    <w:p w14:paraId="0FCEAB0A" w14:textId="77777777" w:rsidR="003640D7" w:rsidRPr="00A657B6" w:rsidRDefault="003640D7" w:rsidP="001351E7">
      <w:pPr>
        <w:pStyle w:val="ListParagraph"/>
        <w:ind w:left="864"/>
      </w:pPr>
    </w:p>
    <w:p w14:paraId="2293CFE4" w14:textId="1DE51066" w:rsidR="003E634D" w:rsidRPr="00A657B6" w:rsidRDefault="001351E7" w:rsidP="001351E7">
      <w:pPr>
        <w:pStyle w:val="ListParagraph"/>
        <w:numPr>
          <w:ilvl w:val="1"/>
          <w:numId w:val="32"/>
        </w:numPr>
      </w:pPr>
      <w:r>
        <w:t>At</w:t>
      </w:r>
      <w:r w:rsidR="003E634D" w:rsidRPr="00A657B6">
        <w:t xml:space="preserve"> </w:t>
      </w:r>
      <w:r w:rsidR="00082371" w:rsidRPr="00A657B6">
        <w:t xml:space="preserve">the </w:t>
      </w:r>
      <w:r w:rsidR="003E634D" w:rsidRPr="00A657B6">
        <w:t>laboratory</w:t>
      </w:r>
      <w:r>
        <w:t>, pass</w:t>
      </w:r>
      <w:r w:rsidRPr="00A657B6">
        <w:t xml:space="preserve"> </w:t>
      </w:r>
      <w:r w:rsidR="00082371" w:rsidRPr="00A657B6">
        <w:t>the soil</w:t>
      </w:r>
      <w:r w:rsidR="003E634D" w:rsidRPr="00A657B6">
        <w:t xml:space="preserve"> through </w:t>
      </w:r>
      <w:r>
        <w:t xml:space="preserve">a </w:t>
      </w:r>
      <w:r w:rsidR="003E634D" w:rsidRPr="00A657B6">
        <w:t>2</w:t>
      </w:r>
      <w:r>
        <w:t>-</w:t>
      </w:r>
      <w:r w:rsidR="003E634D" w:rsidRPr="00A657B6">
        <w:t xml:space="preserve">mm </w:t>
      </w:r>
      <w:r>
        <w:t xml:space="preserve">sieve </w:t>
      </w:r>
      <w:r w:rsidR="003E634D" w:rsidRPr="00A657B6">
        <w:t xml:space="preserve">to remove </w:t>
      </w:r>
      <w:r>
        <w:t xml:space="preserve">any </w:t>
      </w:r>
      <w:r w:rsidR="003E634D" w:rsidRPr="00A657B6">
        <w:t>gravel and rock.</w:t>
      </w:r>
    </w:p>
    <w:p w14:paraId="2056EAEE" w14:textId="77777777" w:rsidR="003640D7" w:rsidRPr="00A657B6" w:rsidRDefault="003640D7" w:rsidP="001351E7">
      <w:pPr>
        <w:pStyle w:val="ListParagraph"/>
        <w:ind w:left="864"/>
      </w:pPr>
    </w:p>
    <w:p w14:paraId="1B9B113B" w14:textId="0EC44468" w:rsidR="003E634D" w:rsidRPr="00A657B6" w:rsidRDefault="00082371" w:rsidP="001351E7">
      <w:pPr>
        <w:pStyle w:val="ListParagraph"/>
        <w:numPr>
          <w:ilvl w:val="1"/>
          <w:numId w:val="32"/>
        </w:numPr>
      </w:pPr>
      <w:r w:rsidRPr="00A657B6">
        <w:t>Analyze a p</w:t>
      </w:r>
      <w:r w:rsidR="003E634D" w:rsidRPr="00A657B6">
        <w:t xml:space="preserve">ortion of </w:t>
      </w:r>
      <w:r w:rsidRPr="00A657B6">
        <w:t xml:space="preserve">the </w:t>
      </w:r>
      <w:r w:rsidR="003E634D" w:rsidRPr="00A657B6">
        <w:t>soil</w:t>
      </w:r>
      <w:r w:rsidRPr="00A657B6">
        <w:t xml:space="preserve"> </w:t>
      </w:r>
      <w:r w:rsidR="003E634D" w:rsidRPr="00A657B6">
        <w:t xml:space="preserve">for soil moisture content. </w:t>
      </w:r>
      <w:r w:rsidR="001351E7">
        <w:t xml:space="preserve">For details of this step, please refer to JoVE Science Education video </w:t>
      </w:r>
      <w:r w:rsidR="00E02652">
        <w:t>on soil moisture</w:t>
      </w:r>
      <w:r w:rsidR="001351E7">
        <w:t>.</w:t>
      </w:r>
    </w:p>
    <w:p w14:paraId="417F5F56" w14:textId="77777777" w:rsidR="003640D7" w:rsidRPr="00A657B6" w:rsidRDefault="003640D7" w:rsidP="00820908">
      <w:pPr>
        <w:pStyle w:val="ListParagraph"/>
        <w:ind w:left="792"/>
      </w:pPr>
    </w:p>
    <w:p w14:paraId="26F0CF24" w14:textId="169F738B" w:rsidR="003E634D" w:rsidRPr="00A657B6" w:rsidRDefault="00B96FDF" w:rsidP="001351E7">
      <w:pPr>
        <w:pStyle w:val="ListParagraph"/>
        <w:numPr>
          <w:ilvl w:val="0"/>
          <w:numId w:val="32"/>
        </w:numPr>
      </w:pPr>
      <w:r>
        <w:t xml:space="preserve">Sample </w:t>
      </w:r>
      <w:r w:rsidR="00082371" w:rsidRPr="00A657B6">
        <w:t>Collect</w:t>
      </w:r>
      <w:r w:rsidR="001351E7">
        <w:t>ion: W</w:t>
      </w:r>
      <w:r w:rsidR="003E634D" w:rsidRPr="00A657B6">
        <w:t xml:space="preserve">ater </w:t>
      </w:r>
      <w:r w:rsidR="00082371" w:rsidRPr="00A657B6">
        <w:t>s</w:t>
      </w:r>
      <w:r w:rsidR="003E634D" w:rsidRPr="00A657B6">
        <w:t>ample</w:t>
      </w:r>
    </w:p>
    <w:p w14:paraId="4E794CE5" w14:textId="77777777" w:rsidR="003640D7" w:rsidRPr="00A657B6" w:rsidRDefault="003640D7" w:rsidP="00820908">
      <w:pPr>
        <w:pStyle w:val="ListParagraph"/>
        <w:ind w:left="1224"/>
      </w:pPr>
    </w:p>
    <w:p w14:paraId="7F474F39" w14:textId="48EC3B5D" w:rsidR="003E634D" w:rsidRPr="00A657B6" w:rsidRDefault="00082371" w:rsidP="00CE15F8">
      <w:pPr>
        <w:pStyle w:val="ListParagraph"/>
        <w:numPr>
          <w:ilvl w:val="1"/>
          <w:numId w:val="32"/>
        </w:numPr>
      </w:pPr>
      <w:r w:rsidRPr="00A657B6">
        <w:t>Find the s</w:t>
      </w:r>
      <w:r w:rsidR="003E634D" w:rsidRPr="00A657B6">
        <w:t>ample location via GPS, coordinat</w:t>
      </w:r>
      <w:r w:rsidRPr="00A657B6">
        <w:t>es, or sight.</w:t>
      </w:r>
    </w:p>
    <w:p w14:paraId="1E87C130" w14:textId="77777777" w:rsidR="003640D7" w:rsidRPr="00A657B6" w:rsidRDefault="003640D7" w:rsidP="00820908">
      <w:pPr>
        <w:pStyle w:val="ListParagraph"/>
        <w:ind w:left="1224"/>
      </w:pPr>
    </w:p>
    <w:p w14:paraId="43CE542C" w14:textId="21831502" w:rsidR="00082371" w:rsidRPr="00A657B6" w:rsidRDefault="00082371" w:rsidP="00CE15F8">
      <w:pPr>
        <w:pStyle w:val="ListParagraph"/>
        <w:numPr>
          <w:ilvl w:val="1"/>
          <w:numId w:val="32"/>
        </w:numPr>
      </w:pPr>
      <w:r w:rsidRPr="00A657B6">
        <w:t>Collect the w</w:t>
      </w:r>
      <w:r w:rsidR="003E634D" w:rsidRPr="00A657B6">
        <w:t xml:space="preserve">ater in </w:t>
      </w:r>
      <w:r w:rsidRPr="00A657B6">
        <w:t xml:space="preserve">a </w:t>
      </w:r>
      <w:r w:rsidR="001C5D9D">
        <w:t>storage</w:t>
      </w:r>
      <w:r w:rsidR="003E634D" w:rsidRPr="00A657B6">
        <w:t xml:space="preserve"> bottle.</w:t>
      </w:r>
      <w:r w:rsidR="00FD2065">
        <w:t xml:space="preserve"> Record t</w:t>
      </w:r>
      <w:r w:rsidR="00AA08EC" w:rsidRPr="00FD2065">
        <w:rPr>
          <w:rFonts w:ascii="Cambria" w:hAnsi="Cambria"/>
        </w:rPr>
        <w:t xml:space="preserve">he volume of water </w:t>
      </w:r>
      <w:r w:rsidR="00FD2065">
        <w:rPr>
          <w:rFonts w:ascii="Cambria" w:hAnsi="Cambria"/>
        </w:rPr>
        <w:t>collected; if microbes in the sample are quantitatively assayed, then the microbial concentration can be determined based on the collected volume.</w:t>
      </w:r>
      <w:bookmarkStart w:id="0" w:name="_GoBack"/>
      <w:bookmarkEnd w:id="0"/>
    </w:p>
    <w:p w14:paraId="6CA9EEF0" w14:textId="77777777" w:rsidR="003640D7" w:rsidRPr="00A657B6" w:rsidRDefault="003640D7" w:rsidP="00820908"/>
    <w:p w14:paraId="4382B7FA" w14:textId="2286EDE7" w:rsidR="003E634D" w:rsidRPr="00A657B6" w:rsidRDefault="00082371" w:rsidP="00CE15F8">
      <w:pPr>
        <w:pStyle w:val="ListParagraph"/>
        <w:numPr>
          <w:ilvl w:val="1"/>
          <w:numId w:val="32"/>
        </w:numPr>
      </w:pPr>
      <w:r w:rsidRPr="00A657B6">
        <w:t>Immediately test the w</w:t>
      </w:r>
      <w:r w:rsidR="003E634D" w:rsidRPr="00A657B6">
        <w:t xml:space="preserve">ater for any parameters required for </w:t>
      </w:r>
      <w:r w:rsidRPr="00A657B6">
        <w:t xml:space="preserve">the </w:t>
      </w:r>
      <w:r w:rsidR="003E634D" w:rsidRPr="00A657B6">
        <w:t xml:space="preserve">experiment </w:t>
      </w:r>
      <w:r w:rsidRPr="00A657B6">
        <w:t>(temperature, pH, conductivity, salinity, nitrogen</w:t>
      </w:r>
      <w:r w:rsidR="00B950C2">
        <w:t xml:space="preserve"> and</w:t>
      </w:r>
      <w:r w:rsidRPr="00A657B6">
        <w:t xml:space="preserve"> phosphorous</w:t>
      </w:r>
      <w:r w:rsidR="00B950C2">
        <w:t xml:space="preserve"> content, etc.</w:t>
      </w:r>
      <w:r w:rsidRPr="00A657B6">
        <w:t xml:space="preserve">) </w:t>
      </w:r>
      <w:r w:rsidR="003E634D" w:rsidRPr="00A657B6">
        <w:t xml:space="preserve">using </w:t>
      </w:r>
      <w:r w:rsidR="00B950C2">
        <w:t xml:space="preserve">the appropriate electronic </w:t>
      </w:r>
      <w:r w:rsidR="003E634D" w:rsidRPr="00A657B6">
        <w:t>probes</w:t>
      </w:r>
      <w:r w:rsidRPr="00A657B6">
        <w:t>.</w:t>
      </w:r>
    </w:p>
    <w:p w14:paraId="1780B4C9" w14:textId="77777777" w:rsidR="003640D7" w:rsidRPr="00A657B6" w:rsidRDefault="003640D7" w:rsidP="00820908">
      <w:pPr>
        <w:pStyle w:val="ListParagraph"/>
        <w:ind w:left="1224"/>
      </w:pPr>
    </w:p>
    <w:p w14:paraId="7D24456E" w14:textId="0DF36E17" w:rsidR="003E634D" w:rsidRPr="00A657B6" w:rsidRDefault="00082371" w:rsidP="00CE15F8">
      <w:pPr>
        <w:pStyle w:val="ListParagraph"/>
        <w:numPr>
          <w:ilvl w:val="1"/>
          <w:numId w:val="32"/>
        </w:numPr>
      </w:pPr>
      <w:r w:rsidRPr="00A657B6">
        <w:t>Place the b</w:t>
      </w:r>
      <w:r w:rsidR="003E634D" w:rsidRPr="00A657B6">
        <w:t xml:space="preserve">ottle containing </w:t>
      </w:r>
      <w:r w:rsidRPr="00A657B6">
        <w:t xml:space="preserve">the </w:t>
      </w:r>
      <w:r w:rsidR="003E634D" w:rsidRPr="00A657B6">
        <w:t xml:space="preserve">water </w:t>
      </w:r>
      <w:r w:rsidR="00E07734">
        <w:t xml:space="preserve">sample </w:t>
      </w:r>
      <w:r w:rsidR="003E634D" w:rsidRPr="00A657B6">
        <w:t>in</w:t>
      </w:r>
      <w:r w:rsidR="00E07734">
        <w:t>to</w:t>
      </w:r>
      <w:r w:rsidR="003E634D" w:rsidRPr="00A657B6">
        <w:t xml:space="preserve"> </w:t>
      </w:r>
      <w:r w:rsidRPr="00A657B6">
        <w:t xml:space="preserve">a </w:t>
      </w:r>
      <w:r w:rsidR="003E634D" w:rsidRPr="00A657B6">
        <w:t>cooler with ice.</w:t>
      </w:r>
      <w:r w:rsidR="00E07734">
        <w:t xml:space="preserve"> </w:t>
      </w:r>
      <w:r w:rsidRPr="00A657B6">
        <w:t>T</w:t>
      </w:r>
      <w:r w:rsidR="003E634D" w:rsidRPr="00A657B6">
        <w:t>ransfer</w:t>
      </w:r>
      <w:r w:rsidRPr="00A657B6">
        <w:t xml:space="preserve"> the cooler</w:t>
      </w:r>
      <w:r w:rsidR="003E634D" w:rsidRPr="00A657B6">
        <w:t xml:space="preserve"> to </w:t>
      </w:r>
      <w:r w:rsidRPr="00A657B6">
        <w:t xml:space="preserve">the </w:t>
      </w:r>
      <w:r w:rsidR="003E634D" w:rsidRPr="00A657B6">
        <w:t>laboratory.</w:t>
      </w:r>
    </w:p>
    <w:p w14:paraId="738881C5" w14:textId="77777777" w:rsidR="003E634D" w:rsidRPr="00A657B6" w:rsidRDefault="003E634D" w:rsidP="003E634D"/>
    <w:p w14:paraId="7EE75387" w14:textId="4ED3202D" w:rsidR="001E5183" w:rsidRPr="00A657B6" w:rsidRDefault="00CE15F8" w:rsidP="00CE15F8">
      <w:pPr>
        <w:pStyle w:val="ListParagraph"/>
        <w:numPr>
          <w:ilvl w:val="0"/>
          <w:numId w:val="32"/>
        </w:numPr>
      </w:pPr>
      <w:r>
        <w:t xml:space="preserve">RNA </w:t>
      </w:r>
      <w:r w:rsidR="0092334B" w:rsidRPr="00A657B6">
        <w:t>Extraction</w:t>
      </w:r>
    </w:p>
    <w:p w14:paraId="0A6DDDA5" w14:textId="77777777" w:rsidR="00B10A91" w:rsidRPr="00EF6CE9" w:rsidRDefault="00B10A91" w:rsidP="00A12A08">
      <w:pPr>
        <w:pStyle w:val="ListParagraph"/>
        <w:ind w:left="792"/>
      </w:pPr>
    </w:p>
    <w:p w14:paraId="384E0915" w14:textId="70D02A91" w:rsidR="00CE15F8" w:rsidRDefault="00CE15F8" w:rsidP="00CE15F8">
      <w:pPr>
        <w:pStyle w:val="ListParagraph"/>
        <w:numPr>
          <w:ilvl w:val="1"/>
          <w:numId w:val="32"/>
        </w:numPr>
      </w:pPr>
      <w:r>
        <w:t>To collect and concentrate microorganisms from the environmental sample, please refer to the JoVE Science Education video on community nucleic acid extraction.</w:t>
      </w:r>
    </w:p>
    <w:p w14:paraId="1D4B678C" w14:textId="77777777" w:rsidR="00CE15F8" w:rsidRDefault="00CE15F8" w:rsidP="005E24C7">
      <w:pPr>
        <w:pStyle w:val="ListParagraph"/>
        <w:ind w:left="792"/>
      </w:pPr>
    </w:p>
    <w:p w14:paraId="2575B384" w14:textId="30D25E8A" w:rsidR="00DA2880" w:rsidRDefault="00F75359" w:rsidP="005E24C7">
      <w:pPr>
        <w:pStyle w:val="ListParagraph"/>
        <w:numPr>
          <w:ilvl w:val="1"/>
          <w:numId w:val="32"/>
        </w:numPr>
      </w:pPr>
      <w:r w:rsidRPr="00EF6CE9">
        <w:t xml:space="preserve">Extract </w:t>
      </w:r>
      <w:r w:rsidR="00C10CB6" w:rsidRPr="00EF6CE9">
        <w:t>RNA</w:t>
      </w:r>
      <w:r w:rsidR="0092334B" w:rsidRPr="00EF6CE9">
        <w:t xml:space="preserve"> </w:t>
      </w:r>
      <w:r w:rsidR="00DA2880" w:rsidRPr="00EF6CE9">
        <w:t xml:space="preserve">from </w:t>
      </w:r>
      <w:r w:rsidR="00B84A37" w:rsidRPr="00EF6CE9">
        <w:t>viruses</w:t>
      </w:r>
      <w:r w:rsidR="00C01936">
        <w:t xml:space="preserve"> using</w:t>
      </w:r>
      <w:r w:rsidRPr="00EF6CE9">
        <w:t xml:space="preserve"> a c</w:t>
      </w:r>
      <w:r w:rsidR="00C10CB6" w:rsidRPr="00EF6CE9">
        <w:t>ommercial extraction kit</w:t>
      </w:r>
      <w:r w:rsidR="00C01936">
        <w:t xml:space="preserve"> according to manufacturer’s instructions</w:t>
      </w:r>
      <w:r w:rsidRPr="00EF6CE9">
        <w:t>.</w:t>
      </w:r>
    </w:p>
    <w:p w14:paraId="3150ACC9" w14:textId="77777777" w:rsidR="005E24C7" w:rsidRDefault="005E24C7" w:rsidP="005E24C7">
      <w:pPr>
        <w:pStyle w:val="ListParagraph"/>
        <w:ind w:left="792"/>
      </w:pPr>
    </w:p>
    <w:p w14:paraId="5EF327F4" w14:textId="38009D7C" w:rsidR="005E24C7" w:rsidRDefault="005E24C7" w:rsidP="005E24C7">
      <w:pPr>
        <w:pStyle w:val="ListParagraph"/>
        <w:numPr>
          <w:ilvl w:val="1"/>
          <w:numId w:val="32"/>
        </w:numPr>
      </w:pPr>
      <w:r>
        <w:t>Briefly, first mix the sample</w:t>
      </w:r>
      <w:r w:rsidR="005D2645">
        <w:t>s</w:t>
      </w:r>
      <w:r>
        <w:t xml:space="preserve"> with </w:t>
      </w:r>
      <w:proofErr w:type="spellStart"/>
      <w:r>
        <w:t>lysis</w:t>
      </w:r>
      <w:proofErr w:type="spellEnd"/>
      <w:r>
        <w:t xml:space="preserve"> buffer supplemented with ethanol, </w:t>
      </w:r>
      <w:proofErr w:type="gramStart"/>
      <w:r>
        <w:t>then</w:t>
      </w:r>
      <w:proofErr w:type="gramEnd"/>
      <w:r>
        <w:t xml:space="preserve"> add the sample</w:t>
      </w:r>
      <w:r w:rsidR="005D2645">
        <w:t>s</w:t>
      </w:r>
      <w:r>
        <w:t xml:space="preserve"> into spin columns.</w:t>
      </w:r>
    </w:p>
    <w:p w14:paraId="3B9EAE10" w14:textId="77777777" w:rsidR="005E24C7" w:rsidRDefault="005E24C7" w:rsidP="005D2645"/>
    <w:p w14:paraId="7F015922" w14:textId="4A69E751" w:rsidR="005E24C7" w:rsidRDefault="005E24C7" w:rsidP="005E24C7">
      <w:pPr>
        <w:pStyle w:val="ListParagraph"/>
        <w:numPr>
          <w:ilvl w:val="1"/>
          <w:numId w:val="32"/>
        </w:numPr>
      </w:pPr>
      <w:r>
        <w:t>Centrifuge the columns at approximately 12</w:t>
      </w:r>
      <w:proofErr w:type="gramStart"/>
      <w:r>
        <w:t>,000 x</w:t>
      </w:r>
      <w:proofErr w:type="gramEnd"/>
      <w:r>
        <w:t xml:space="preserve"> </w:t>
      </w:r>
      <w:r w:rsidR="005D2645">
        <w:t xml:space="preserve">g, discard </w:t>
      </w:r>
      <w:proofErr w:type="spellStart"/>
      <w:r w:rsidR="005D2645">
        <w:t>flowthrough</w:t>
      </w:r>
      <w:proofErr w:type="spellEnd"/>
      <w:r w:rsidR="005D2645">
        <w:t>. Add wash buffer to the columns and centrifuge again.</w:t>
      </w:r>
    </w:p>
    <w:p w14:paraId="1C7F367C" w14:textId="77777777" w:rsidR="005D2645" w:rsidRDefault="005D2645" w:rsidP="005D2645"/>
    <w:p w14:paraId="2389C962" w14:textId="33D2AFBF" w:rsidR="005D2645" w:rsidRPr="00EF6CE9" w:rsidRDefault="005D2645" w:rsidP="005E24C7">
      <w:pPr>
        <w:pStyle w:val="ListParagraph"/>
        <w:numPr>
          <w:ilvl w:val="1"/>
          <w:numId w:val="32"/>
        </w:numPr>
      </w:pPr>
      <w:r>
        <w:t xml:space="preserve">Add </w:t>
      </w:r>
      <w:proofErr w:type="spellStart"/>
      <w:r>
        <w:t>RNase</w:t>
      </w:r>
      <w:proofErr w:type="spellEnd"/>
      <w:r>
        <w:t>-free water to the columns and centrifuge for 30 s to elute RNA into sterile 1.5-mL low-adhesion microfuge tubes.</w:t>
      </w:r>
    </w:p>
    <w:p w14:paraId="1D4D24E6" w14:textId="77777777" w:rsidR="004D2FFC" w:rsidRPr="00A657B6" w:rsidRDefault="004D2FFC" w:rsidP="00A12A08"/>
    <w:p w14:paraId="5AE1687E" w14:textId="21811FD0" w:rsidR="00DC18E8" w:rsidRPr="00A657B6" w:rsidRDefault="00D96417" w:rsidP="005D2645">
      <w:pPr>
        <w:pStyle w:val="ListParagraph"/>
        <w:numPr>
          <w:ilvl w:val="0"/>
          <w:numId w:val="32"/>
        </w:numPr>
      </w:pPr>
      <w:r w:rsidRPr="00A657B6">
        <w:t>Reverse Transcript</w:t>
      </w:r>
      <w:r w:rsidR="005D2645">
        <w:t>ion - PCR</w:t>
      </w:r>
    </w:p>
    <w:p w14:paraId="57320996" w14:textId="77777777" w:rsidR="009A3E99" w:rsidRPr="00A657B6" w:rsidRDefault="009A3E99" w:rsidP="00A12A08"/>
    <w:p w14:paraId="2F26610F" w14:textId="5F87BDEC" w:rsidR="00DE022D" w:rsidRPr="00A657B6" w:rsidRDefault="000E2859" w:rsidP="0018139B">
      <w:pPr>
        <w:pStyle w:val="ListParagraph"/>
        <w:numPr>
          <w:ilvl w:val="1"/>
          <w:numId w:val="32"/>
        </w:numPr>
      </w:pPr>
      <w:r>
        <w:t>Retrieve the following reagents from the -20 °C freezer</w:t>
      </w:r>
      <w:r w:rsidR="006D0694">
        <w:t xml:space="preserve">: </w:t>
      </w:r>
      <w:proofErr w:type="spellStart"/>
      <w:r w:rsidR="004D2FFC" w:rsidRPr="00A657B6">
        <w:t>dNTP</w:t>
      </w:r>
      <w:proofErr w:type="spellEnd"/>
      <w:r w:rsidR="00F75359" w:rsidRPr="00A657B6">
        <w:t xml:space="preserve">, </w:t>
      </w:r>
      <w:r w:rsidR="006D0694">
        <w:t>concentrated (</w:t>
      </w:r>
      <w:r w:rsidR="006D0694">
        <w:rPr>
          <w:i/>
        </w:rPr>
        <w:t>e.g.</w:t>
      </w:r>
      <w:r w:rsidR="006D0694">
        <w:t>, 10x)</w:t>
      </w:r>
      <w:r w:rsidR="006D0694" w:rsidRPr="00A657B6">
        <w:t xml:space="preserve"> </w:t>
      </w:r>
      <w:r w:rsidR="006D0694">
        <w:t>r</w:t>
      </w:r>
      <w:r w:rsidR="004D2FFC" w:rsidRPr="00A657B6">
        <w:t xml:space="preserve">everse </w:t>
      </w:r>
      <w:r w:rsidR="006D0694">
        <w:t>t</w:t>
      </w:r>
      <w:r w:rsidR="004D2FFC" w:rsidRPr="00A657B6">
        <w:t xml:space="preserve">ranscription </w:t>
      </w:r>
      <w:r w:rsidR="006D0694">
        <w:t>b</w:t>
      </w:r>
      <w:r w:rsidR="004D2FFC" w:rsidRPr="00A657B6">
        <w:t>uffer</w:t>
      </w:r>
      <w:r w:rsidR="00F75359" w:rsidRPr="00A657B6">
        <w:t xml:space="preserve">, </w:t>
      </w:r>
      <w:r w:rsidR="006D0694">
        <w:t>p</w:t>
      </w:r>
      <w:r w:rsidR="004D2FFC" w:rsidRPr="00A657B6">
        <w:t>rime</w:t>
      </w:r>
      <w:r w:rsidR="00F75359" w:rsidRPr="00A657B6">
        <w:t>r</w:t>
      </w:r>
      <w:r w:rsidR="000C0A46">
        <w:t>s (in this example, random primers)</w:t>
      </w:r>
      <w:r w:rsidR="006D0694">
        <w:t>. T</w:t>
      </w:r>
      <w:r w:rsidR="006D0694" w:rsidRPr="00A657B6">
        <w:t xml:space="preserve">haw </w:t>
      </w:r>
      <w:r w:rsidR="006D0694">
        <w:t>these on ice or at room temperature</w:t>
      </w:r>
      <w:r w:rsidR="006D0694" w:rsidRPr="00A657B6">
        <w:t xml:space="preserve"> inside a clean hood</w:t>
      </w:r>
      <w:r w:rsidR="006D0694">
        <w:t>, and keep them on ice once thawed. Also retrieve the</w:t>
      </w:r>
      <w:r w:rsidR="00F75359" w:rsidRPr="00A657B6">
        <w:t xml:space="preserve"> </w:t>
      </w:r>
      <w:r w:rsidR="006D0694">
        <w:t>r</w:t>
      </w:r>
      <w:r w:rsidR="00313303" w:rsidRPr="00A657B6">
        <w:t xml:space="preserve">everse </w:t>
      </w:r>
      <w:r w:rsidR="006D0694">
        <w:t>t</w:t>
      </w:r>
      <w:r w:rsidR="00313303" w:rsidRPr="00A657B6">
        <w:t>ranscriptase</w:t>
      </w:r>
      <w:r w:rsidR="009C4D86" w:rsidRPr="00A657B6">
        <w:t xml:space="preserve"> </w:t>
      </w:r>
      <w:r w:rsidR="00F75359" w:rsidRPr="00A657B6">
        <w:t xml:space="preserve">and </w:t>
      </w:r>
      <w:proofErr w:type="spellStart"/>
      <w:r w:rsidR="00313303" w:rsidRPr="00A657B6">
        <w:t>R</w:t>
      </w:r>
      <w:r w:rsidR="006D0694">
        <w:t>N</w:t>
      </w:r>
      <w:r w:rsidR="00313303" w:rsidRPr="00A657B6">
        <w:t>ase</w:t>
      </w:r>
      <w:proofErr w:type="spellEnd"/>
      <w:r w:rsidR="00313303" w:rsidRPr="00A657B6">
        <w:t xml:space="preserve"> </w:t>
      </w:r>
      <w:r w:rsidR="006D0694">
        <w:t>i</w:t>
      </w:r>
      <w:r w:rsidR="00313303" w:rsidRPr="00A657B6">
        <w:t>nhibitor</w:t>
      </w:r>
      <w:r w:rsidR="006D0694">
        <w:t xml:space="preserve"> and keep them on ice</w:t>
      </w:r>
      <w:r w:rsidR="00F75359" w:rsidRPr="00A657B6">
        <w:t>.</w:t>
      </w:r>
    </w:p>
    <w:p w14:paraId="0D87DAAB" w14:textId="77777777" w:rsidR="00DE022D" w:rsidRPr="00A657B6" w:rsidRDefault="00DE022D" w:rsidP="00A12A08">
      <w:pPr>
        <w:pStyle w:val="ListParagraph"/>
        <w:ind w:left="1440"/>
      </w:pPr>
    </w:p>
    <w:p w14:paraId="6A4B3B78" w14:textId="7BEF6A93" w:rsidR="00E21801" w:rsidRPr="00A657B6" w:rsidRDefault="00B40A12" w:rsidP="0018139B">
      <w:pPr>
        <w:pStyle w:val="ListParagraph"/>
        <w:numPr>
          <w:ilvl w:val="1"/>
          <w:numId w:val="32"/>
        </w:numPr>
      </w:pPr>
      <w:r w:rsidRPr="00A657B6">
        <w:t xml:space="preserve">Calculate </w:t>
      </w:r>
      <w:r w:rsidR="00FE1DBF" w:rsidRPr="00A657B6">
        <w:t xml:space="preserve">the </w:t>
      </w:r>
      <w:r w:rsidR="003D293F">
        <w:t xml:space="preserve">reagent </w:t>
      </w:r>
      <w:r w:rsidRPr="00A657B6">
        <w:t>volume</w:t>
      </w:r>
      <w:r w:rsidR="003D293F">
        <w:t>s</w:t>
      </w:r>
      <w:r w:rsidRPr="00A657B6">
        <w:t xml:space="preserve"> need</w:t>
      </w:r>
      <w:r w:rsidR="003D293F">
        <w:t xml:space="preserve">ed to make a “master mix” that combines </w:t>
      </w:r>
      <w:r w:rsidR="00282E29">
        <w:t xml:space="preserve">all the reagents constant among every reaction (see </w:t>
      </w:r>
      <w:r w:rsidR="00282E29" w:rsidRPr="00282E29">
        <w:rPr>
          <w:b/>
        </w:rPr>
        <w:t>Table 1</w:t>
      </w:r>
      <w:r w:rsidR="00282E29">
        <w:t xml:space="preserve"> for a sample reaction)</w:t>
      </w:r>
      <w:r w:rsidRPr="00A657B6">
        <w:t>.</w:t>
      </w:r>
      <w:r w:rsidR="00282E29">
        <w:t xml:space="preserve"> Prepare enough master mix for every sample, as well as a positive control (using a known transcript template) and negative control (</w:t>
      </w:r>
      <w:r w:rsidR="00282E29">
        <w:rPr>
          <w:i/>
        </w:rPr>
        <w:t>e.g.</w:t>
      </w:r>
      <w:r w:rsidR="00282E29">
        <w:t xml:space="preserve">, without reverse transcriptase, with only water as template, </w:t>
      </w:r>
      <w:r w:rsidR="00282E29">
        <w:rPr>
          <w:i/>
        </w:rPr>
        <w:t>etc.</w:t>
      </w:r>
      <w:r w:rsidR="00282E29">
        <w:t>) reactions. Include an extra 10% in volume.</w:t>
      </w:r>
    </w:p>
    <w:p w14:paraId="7EB32FA6" w14:textId="77777777" w:rsidR="006466F1" w:rsidRPr="00A657B6" w:rsidRDefault="006466F1" w:rsidP="00A12A08">
      <w:pPr>
        <w:rPr>
          <w:b/>
        </w:rPr>
      </w:pPr>
    </w:p>
    <w:p w14:paraId="19AF36FE" w14:textId="26EBDDAE" w:rsidR="009C4D86" w:rsidRPr="00A657B6" w:rsidRDefault="00ED4FB8" w:rsidP="00ED4FB8">
      <w:pPr>
        <w:pStyle w:val="ListParagraph"/>
        <w:numPr>
          <w:ilvl w:val="1"/>
          <w:numId w:val="32"/>
        </w:numPr>
        <w:rPr>
          <w:noProof/>
        </w:rPr>
      </w:pPr>
      <w:r>
        <w:rPr>
          <w:noProof/>
        </w:rPr>
        <w:t>Assemble</w:t>
      </w:r>
      <w:r w:rsidRPr="00A657B6">
        <w:rPr>
          <w:noProof/>
        </w:rPr>
        <w:t xml:space="preserve"> </w:t>
      </w:r>
      <w:r w:rsidR="006517DF">
        <w:rPr>
          <w:noProof/>
        </w:rPr>
        <w:t xml:space="preserve">the master mix in </w:t>
      </w:r>
      <w:r w:rsidR="009C4D86" w:rsidRPr="00A657B6">
        <w:rPr>
          <w:noProof/>
        </w:rPr>
        <w:t>1.5</w:t>
      </w:r>
      <w:r w:rsidR="006517DF">
        <w:rPr>
          <w:noProof/>
        </w:rPr>
        <w:t>-</w:t>
      </w:r>
      <w:r w:rsidR="009C4D86" w:rsidRPr="00A657B6">
        <w:rPr>
          <w:noProof/>
        </w:rPr>
        <w:t>m</w:t>
      </w:r>
      <w:r w:rsidR="006517DF">
        <w:rPr>
          <w:noProof/>
        </w:rPr>
        <w:t>L low-adhesion microfuge tubes. This</w:t>
      </w:r>
      <w:r w:rsidR="00C25243" w:rsidRPr="00A657B6">
        <w:rPr>
          <w:noProof/>
        </w:rPr>
        <w:t xml:space="preserve"> </w:t>
      </w:r>
      <w:r w:rsidR="006517DF">
        <w:rPr>
          <w:noProof/>
        </w:rPr>
        <w:t xml:space="preserve">minimizes the </w:t>
      </w:r>
      <w:r w:rsidR="00C25243" w:rsidRPr="00A657B6">
        <w:rPr>
          <w:noProof/>
        </w:rPr>
        <w:t>binding</w:t>
      </w:r>
      <w:r w:rsidR="006517DF">
        <w:rPr>
          <w:noProof/>
        </w:rPr>
        <w:t xml:space="preserve"> of reagent molecules</w:t>
      </w:r>
      <w:r w:rsidR="00C25243" w:rsidRPr="00A657B6">
        <w:rPr>
          <w:noProof/>
        </w:rPr>
        <w:t xml:space="preserve"> to </w:t>
      </w:r>
      <w:r w:rsidR="006517DF">
        <w:rPr>
          <w:noProof/>
        </w:rPr>
        <w:t xml:space="preserve">the tubes’ </w:t>
      </w:r>
      <w:r w:rsidR="00C25243" w:rsidRPr="00A657B6">
        <w:rPr>
          <w:noProof/>
        </w:rPr>
        <w:t>plastic</w:t>
      </w:r>
      <w:r w:rsidR="006517DF">
        <w:rPr>
          <w:noProof/>
        </w:rPr>
        <w:t xml:space="preserve"> walls</w:t>
      </w:r>
      <w:r w:rsidR="00C25243" w:rsidRPr="00A657B6">
        <w:rPr>
          <w:noProof/>
        </w:rPr>
        <w:t>.</w:t>
      </w:r>
    </w:p>
    <w:p w14:paraId="69ABC9B0" w14:textId="77777777" w:rsidR="00B10A91" w:rsidRPr="00A657B6" w:rsidRDefault="00B10A91" w:rsidP="00A12A08">
      <w:pPr>
        <w:pStyle w:val="ListParagraph"/>
        <w:ind w:left="792"/>
        <w:rPr>
          <w:noProof/>
        </w:rPr>
      </w:pPr>
    </w:p>
    <w:p w14:paraId="4959F37D" w14:textId="4B1461F6" w:rsidR="009C4D86" w:rsidRPr="00A657B6" w:rsidRDefault="00C25243" w:rsidP="00ED4FB8">
      <w:pPr>
        <w:pStyle w:val="ListParagraph"/>
        <w:numPr>
          <w:ilvl w:val="1"/>
          <w:numId w:val="32"/>
        </w:numPr>
        <w:rPr>
          <w:noProof/>
        </w:rPr>
      </w:pPr>
      <w:r w:rsidRPr="00A657B6">
        <w:rPr>
          <w:noProof/>
        </w:rPr>
        <w:t xml:space="preserve">When reagents </w:t>
      </w:r>
      <w:r w:rsidR="00ED4FB8">
        <w:rPr>
          <w:noProof/>
        </w:rPr>
        <w:t xml:space="preserve">are </w:t>
      </w:r>
      <w:r w:rsidRPr="00A657B6">
        <w:rPr>
          <w:noProof/>
        </w:rPr>
        <w:t>thaw</w:t>
      </w:r>
      <w:r w:rsidR="00ED4FB8">
        <w:rPr>
          <w:noProof/>
        </w:rPr>
        <w:t>ed</w:t>
      </w:r>
      <w:r w:rsidRPr="00A657B6">
        <w:rPr>
          <w:noProof/>
        </w:rPr>
        <w:t>, add calculated volume</w:t>
      </w:r>
      <w:r w:rsidR="00EE620B" w:rsidRPr="00A657B6">
        <w:rPr>
          <w:noProof/>
        </w:rPr>
        <w:t>s</w:t>
      </w:r>
      <w:r w:rsidRPr="00A657B6">
        <w:rPr>
          <w:noProof/>
        </w:rPr>
        <w:t xml:space="preserve"> to </w:t>
      </w:r>
      <w:r w:rsidR="00ED4FB8">
        <w:rPr>
          <w:noProof/>
        </w:rPr>
        <w:t>the microfuge</w:t>
      </w:r>
      <w:r w:rsidRPr="00A657B6">
        <w:rPr>
          <w:noProof/>
        </w:rPr>
        <w:t xml:space="preserve"> tube.</w:t>
      </w:r>
      <w:r w:rsidR="00ED4FB8">
        <w:rPr>
          <w:noProof/>
        </w:rPr>
        <w:t xml:space="preserve"> </w:t>
      </w:r>
      <w:r w:rsidRPr="00A657B6">
        <w:rPr>
          <w:noProof/>
        </w:rPr>
        <w:t xml:space="preserve">Gently vortex </w:t>
      </w:r>
      <w:r w:rsidR="00ED4FB8">
        <w:rPr>
          <w:noProof/>
        </w:rPr>
        <w:t>and centrifuge each tube</w:t>
      </w:r>
      <w:r w:rsidRPr="00A657B6">
        <w:rPr>
          <w:noProof/>
        </w:rPr>
        <w:t xml:space="preserve"> before add</w:t>
      </w:r>
      <w:r w:rsidR="00ED4FB8">
        <w:rPr>
          <w:noProof/>
        </w:rPr>
        <w:t>ition</w:t>
      </w:r>
      <w:r w:rsidRPr="00A657B6">
        <w:rPr>
          <w:noProof/>
        </w:rPr>
        <w:t>.</w:t>
      </w:r>
      <w:r w:rsidR="00ED4FB8">
        <w:rPr>
          <w:noProof/>
        </w:rPr>
        <w:t xml:space="preserve"> Make sure to c</w:t>
      </w:r>
      <w:r w:rsidR="009C4D86" w:rsidRPr="00A657B6">
        <w:rPr>
          <w:noProof/>
        </w:rPr>
        <w:t xml:space="preserve">hange pipette </w:t>
      </w:r>
      <w:r w:rsidR="00CF6E8F" w:rsidRPr="00A657B6">
        <w:rPr>
          <w:noProof/>
        </w:rPr>
        <w:t>tip</w:t>
      </w:r>
      <w:r w:rsidR="00ED4FB8">
        <w:rPr>
          <w:noProof/>
        </w:rPr>
        <w:t>s</w:t>
      </w:r>
      <w:r w:rsidR="00CF6E8F" w:rsidRPr="00A657B6">
        <w:rPr>
          <w:noProof/>
        </w:rPr>
        <w:t xml:space="preserve"> between adding each reagent</w:t>
      </w:r>
      <w:r w:rsidR="009C4D86" w:rsidRPr="00A657B6">
        <w:rPr>
          <w:noProof/>
        </w:rPr>
        <w:t xml:space="preserve"> to prevent contamination.</w:t>
      </w:r>
    </w:p>
    <w:p w14:paraId="74DF14A0" w14:textId="77777777" w:rsidR="00B10A91" w:rsidRPr="00A657B6" w:rsidRDefault="00B10A91" w:rsidP="00ED4FB8">
      <w:pPr>
        <w:rPr>
          <w:noProof/>
        </w:rPr>
      </w:pPr>
    </w:p>
    <w:p w14:paraId="6E2CD7A6" w14:textId="6EE2BEC2" w:rsidR="009C4D86" w:rsidRPr="00A657B6" w:rsidRDefault="00003815" w:rsidP="00ED4FB8">
      <w:pPr>
        <w:pStyle w:val="ListParagraph"/>
        <w:numPr>
          <w:ilvl w:val="1"/>
          <w:numId w:val="32"/>
        </w:numPr>
        <w:rPr>
          <w:noProof/>
        </w:rPr>
      </w:pPr>
      <w:r w:rsidRPr="00A657B6">
        <w:rPr>
          <w:noProof/>
        </w:rPr>
        <w:t xml:space="preserve">After all reagents have been added, vortex and </w:t>
      </w:r>
      <w:r w:rsidR="00ED4FB8">
        <w:rPr>
          <w:noProof/>
        </w:rPr>
        <w:t>centrifuge the master mix</w:t>
      </w:r>
      <w:r w:rsidR="00ED4FB8" w:rsidRPr="00A657B6">
        <w:rPr>
          <w:noProof/>
        </w:rPr>
        <w:t xml:space="preserve"> </w:t>
      </w:r>
      <w:r w:rsidRPr="00A657B6">
        <w:rPr>
          <w:noProof/>
        </w:rPr>
        <w:t xml:space="preserve">to </w:t>
      </w:r>
      <w:r w:rsidR="00ED4FB8">
        <w:rPr>
          <w:noProof/>
        </w:rPr>
        <w:t>ensure</w:t>
      </w:r>
      <w:r w:rsidRPr="00A657B6">
        <w:rPr>
          <w:noProof/>
        </w:rPr>
        <w:t xml:space="preserve"> </w:t>
      </w:r>
      <w:r w:rsidR="00A87FCB" w:rsidRPr="00A657B6">
        <w:rPr>
          <w:noProof/>
        </w:rPr>
        <w:t xml:space="preserve">a </w:t>
      </w:r>
      <w:r w:rsidRPr="00A657B6">
        <w:rPr>
          <w:noProof/>
        </w:rPr>
        <w:t>h</w:t>
      </w:r>
      <w:r w:rsidR="00ED4FB8">
        <w:rPr>
          <w:noProof/>
        </w:rPr>
        <w:t>omo</w:t>
      </w:r>
      <w:r w:rsidRPr="00A657B6">
        <w:rPr>
          <w:noProof/>
        </w:rPr>
        <w:t>gen</w:t>
      </w:r>
      <w:r w:rsidR="00ED4FB8">
        <w:rPr>
          <w:noProof/>
        </w:rPr>
        <w:t>e</w:t>
      </w:r>
      <w:r w:rsidRPr="00A657B6">
        <w:rPr>
          <w:noProof/>
        </w:rPr>
        <w:t>ous mixture.</w:t>
      </w:r>
      <w:r w:rsidR="00ED4FB8" w:rsidRPr="00ED4FB8">
        <w:rPr>
          <w:noProof/>
        </w:rPr>
        <w:t xml:space="preserve"> </w:t>
      </w:r>
      <w:r w:rsidR="00ED4FB8">
        <w:rPr>
          <w:noProof/>
        </w:rPr>
        <w:t xml:space="preserve">Put reagents back into storage at </w:t>
      </w:r>
      <w:r w:rsidR="00ED4FB8" w:rsidRPr="00A657B6">
        <w:rPr>
          <w:noProof/>
        </w:rPr>
        <w:t xml:space="preserve">-20 </w:t>
      </w:r>
      <w:r w:rsidR="00ED4FB8" w:rsidRPr="00A657B6">
        <w:rPr>
          <w:rFonts w:ascii="Cambria" w:hAnsi="Cambria"/>
          <w:noProof/>
        </w:rPr>
        <w:t>°</w:t>
      </w:r>
      <w:r w:rsidR="00ED4FB8">
        <w:rPr>
          <w:noProof/>
        </w:rPr>
        <w:t>C.</w:t>
      </w:r>
    </w:p>
    <w:p w14:paraId="2D273FFA" w14:textId="77777777" w:rsidR="00B10A91" w:rsidRPr="00A657B6" w:rsidRDefault="00B10A91" w:rsidP="00A12A08">
      <w:pPr>
        <w:pStyle w:val="ListParagraph"/>
        <w:ind w:left="792"/>
        <w:rPr>
          <w:noProof/>
        </w:rPr>
      </w:pPr>
    </w:p>
    <w:p w14:paraId="264D6AE3" w14:textId="7AA1208C" w:rsidR="00687AEB" w:rsidRPr="00A657B6" w:rsidRDefault="00987BC8" w:rsidP="00861F2F">
      <w:pPr>
        <w:pStyle w:val="ListParagraph"/>
        <w:numPr>
          <w:ilvl w:val="1"/>
          <w:numId w:val="32"/>
        </w:numPr>
        <w:rPr>
          <w:noProof/>
        </w:rPr>
      </w:pPr>
      <w:r w:rsidRPr="00A657B6">
        <w:rPr>
          <w:noProof/>
        </w:rPr>
        <w:lastRenderedPageBreak/>
        <w:t>Prepare</w:t>
      </w:r>
      <w:r w:rsidR="00846B0F">
        <w:rPr>
          <w:noProof/>
        </w:rPr>
        <w:t xml:space="preserve"> and label</w:t>
      </w:r>
      <w:r w:rsidRPr="00A657B6">
        <w:rPr>
          <w:noProof/>
        </w:rPr>
        <w:t xml:space="preserve"> 8-tube </w:t>
      </w:r>
      <w:r w:rsidR="00846B0F">
        <w:rPr>
          <w:noProof/>
        </w:rPr>
        <w:t xml:space="preserve">PCR </w:t>
      </w:r>
      <w:r w:rsidRPr="00A657B6">
        <w:rPr>
          <w:noProof/>
        </w:rPr>
        <w:t>strip</w:t>
      </w:r>
      <w:r w:rsidR="00846B0F">
        <w:rPr>
          <w:noProof/>
        </w:rPr>
        <w:t>s</w:t>
      </w:r>
      <w:r w:rsidRPr="00A657B6">
        <w:rPr>
          <w:noProof/>
        </w:rPr>
        <w:t xml:space="preserve">, </w:t>
      </w:r>
      <w:r w:rsidR="00846B0F">
        <w:rPr>
          <w:noProof/>
        </w:rPr>
        <w:t>d</w:t>
      </w:r>
      <w:r w:rsidR="00687AEB" w:rsidRPr="00A657B6">
        <w:rPr>
          <w:noProof/>
        </w:rPr>
        <w:t>esignat</w:t>
      </w:r>
      <w:r w:rsidR="00846B0F">
        <w:rPr>
          <w:noProof/>
        </w:rPr>
        <w:t>ing one</w:t>
      </w:r>
      <w:r w:rsidR="00687AEB" w:rsidRPr="00A657B6">
        <w:rPr>
          <w:noProof/>
        </w:rPr>
        <w:t xml:space="preserve"> tube for eac</w:t>
      </w:r>
      <w:r w:rsidR="005436E4" w:rsidRPr="00A657B6">
        <w:rPr>
          <w:noProof/>
        </w:rPr>
        <w:t>h sample</w:t>
      </w:r>
      <w:r w:rsidR="00846B0F">
        <w:rPr>
          <w:noProof/>
        </w:rPr>
        <w:t xml:space="preserve"> or control reaction</w:t>
      </w:r>
      <w:r w:rsidR="005436E4" w:rsidRPr="00A657B6">
        <w:rPr>
          <w:noProof/>
        </w:rPr>
        <w:t>.</w:t>
      </w:r>
    </w:p>
    <w:p w14:paraId="66B46197" w14:textId="77777777" w:rsidR="00B10A91" w:rsidRPr="00A657B6" w:rsidRDefault="00B10A91" w:rsidP="00A12A08">
      <w:pPr>
        <w:pStyle w:val="ListParagraph"/>
        <w:ind w:left="792"/>
        <w:rPr>
          <w:noProof/>
        </w:rPr>
      </w:pPr>
    </w:p>
    <w:p w14:paraId="136F26BC" w14:textId="7FB63D05" w:rsidR="00B438CF" w:rsidRPr="00A657B6" w:rsidRDefault="00B438CF" w:rsidP="00861F2F">
      <w:pPr>
        <w:pStyle w:val="ListParagraph"/>
        <w:numPr>
          <w:ilvl w:val="1"/>
          <w:numId w:val="32"/>
        </w:numPr>
        <w:rPr>
          <w:noProof/>
        </w:rPr>
      </w:pPr>
      <w:r w:rsidRPr="00A657B6">
        <w:rPr>
          <w:noProof/>
        </w:rPr>
        <w:t xml:space="preserve">Aliquot </w:t>
      </w:r>
      <w:r w:rsidR="00846B0F">
        <w:rPr>
          <w:noProof/>
        </w:rPr>
        <w:t>an equal volume</w:t>
      </w:r>
      <w:r w:rsidRPr="00A657B6">
        <w:rPr>
          <w:noProof/>
        </w:rPr>
        <w:t xml:space="preserve"> of master mix into each tube.</w:t>
      </w:r>
      <w:r w:rsidR="00846B0F">
        <w:rPr>
          <w:noProof/>
        </w:rPr>
        <w:t xml:space="preserve"> Then, add reaction-specific components, such as the RNA extracts.</w:t>
      </w:r>
    </w:p>
    <w:p w14:paraId="3110CF99" w14:textId="77777777" w:rsidR="00B10A91" w:rsidRPr="00A657B6" w:rsidRDefault="00B10A91" w:rsidP="00A12A08">
      <w:pPr>
        <w:pStyle w:val="ListParagraph"/>
        <w:ind w:left="1224"/>
        <w:rPr>
          <w:noProof/>
        </w:rPr>
      </w:pPr>
    </w:p>
    <w:p w14:paraId="0CB4ECBC" w14:textId="1368C84A" w:rsidR="00B438CF" w:rsidRPr="00A657B6" w:rsidRDefault="009F36C4" w:rsidP="001B08B5">
      <w:pPr>
        <w:pStyle w:val="ListParagraph"/>
        <w:numPr>
          <w:ilvl w:val="1"/>
          <w:numId w:val="32"/>
        </w:numPr>
        <w:rPr>
          <w:noProof/>
        </w:rPr>
      </w:pPr>
      <w:r>
        <w:rPr>
          <w:noProof/>
        </w:rPr>
        <w:t>Place the</w:t>
      </w:r>
      <w:r w:rsidR="00676787" w:rsidRPr="00A657B6">
        <w:rPr>
          <w:noProof/>
        </w:rPr>
        <w:t xml:space="preserve"> strip</w:t>
      </w:r>
      <w:r>
        <w:rPr>
          <w:noProof/>
        </w:rPr>
        <w:t xml:space="preserve"> cap</w:t>
      </w:r>
      <w:r w:rsidR="00676787" w:rsidRPr="00A657B6">
        <w:rPr>
          <w:noProof/>
        </w:rPr>
        <w:t xml:space="preserve"> securely on</w:t>
      </w:r>
      <w:r>
        <w:rPr>
          <w:noProof/>
        </w:rPr>
        <w:t>to the PCR</w:t>
      </w:r>
      <w:r w:rsidR="00676787" w:rsidRPr="00A657B6">
        <w:rPr>
          <w:noProof/>
        </w:rPr>
        <w:t xml:space="preserve"> strip</w:t>
      </w:r>
      <w:r w:rsidR="002157C1" w:rsidRPr="00A657B6">
        <w:rPr>
          <w:noProof/>
        </w:rPr>
        <w:t>,</w:t>
      </w:r>
      <w:r w:rsidR="00676787" w:rsidRPr="00A657B6">
        <w:rPr>
          <w:noProof/>
        </w:rPr>
        <w:t xml:space="preserve"> and </w:t>
      </w:r>
      <w:r w:rsidR="00B575DD">
        <w:rPr>
          <w:noProof/>
        </w:rPr>
        <w:t xml:space="preserve">centrifuge in a </w:t>
      </w:r>
      <w:r w:rsidR="00676787" w:rsidRPr="00A657B6">
        <w:rPr>
          <w:noProof/>
        </w:rPr>
        <w:t>minicentrifuge</w:t>
      </w:r>
      <w:r w:rsidR="00B575DD">
        <w:rPr>
          <w:noProof/>
        </w:rPr>
        <w:t xml:space="preserve"> with a strip tube adaptor</w:t>
      </w:r>
      <w:r w:rsidR="00676787" w:rsidRPr="00A657B6">
        <w:rPr>
          <w:noProof/>
        </w:rPr>
        <w:t xml:space="preserve"> to ensure all liquid is collected at </w:t>
      </w:r>
      <w:r w:rsidR="002157C1" w:rsidRPr="00A657B6">
        <w:rPr>
          <w:noProof/>
        </w:rPr>
        <w:t xml:space="preserve">the </w:t>
      </w:r>
      <w:r w:rsidR="00676787" w:rsidRPr="00A657B6">
        <w:rPr>
          <w:noProof/>
        </w:rPr>
        <w:t>bottom of each tube</w:t>
      </w:r>
      <w:r w:rsidR="002157C1" w:rsidRPr="00A657B6">
        <w:rPr>
          <w:noProof/>
        </w:rPr>
        <w:t xml:space="preserve"> (</w:t>
      </w:r>
      <w:r w:rsidR="002157C1" w:rsidRPr="00A657B6">
        <w:rPr>
          <w:b/>
          <w:noProof/>
        </w:rPr>
        <w:t>Figure 2</w:t>
      </w:r>
      <w:r w:rsidR="002157C1" w:rsidRPr="00A657B6">
        <w:rPr>
          <w:noProof/>
        </w:rPr>
        <w:t>)</w:t>
      </w:r>
      <w:r w:rsidR="00676787" w:rsidRPr="00A657B6">
        <w:rPr>
          <w:noProof/>
        </w:rPr>
        <w:t xml:space="preserve">. </w:t>
      </w:r>
    </w:p>
    <w:p w14:paraId="36818AEC" w14:textId="77777777" w:rsidR="0089412C" w:rsidRPr="00A657B6" w:rsidRDefault="0089412C" w:rsidP="00A12A08">
      <w:pPr>
        <w:rPr>
          <w:noProof/>
        </w:rPr>
      </w:pPr>
    </w:p>
    <w:p w14:paraId="4ECD65D5" w14:textId="4B2DDA97" w:rsidR="00520D73" w:rsidRPr="00A657B6" w:rsidRDefault="00676787" w:rsidP="001B08B5">
      <w:pPr>
        <w:pStyle w:val="ListParagraph"/>
        <w:numPr>
          <w:ilvl w:val="1"/>
          <w:numId w:val="32"/>
        </w:numPr>
        <w:rPr>
          <w:noProof/>
        </w:rPr>
      </w:pPr>
      <w:r w:rsidRPr="00A657B6">
        <w:rPr>
          <w:noProof/>
        </w:rPr>
        <w:t xml:space="preserve">Place </w:t>
      </w:r>
      <w:r w:rsidR="009F36C4">
        <w:rPr>
          <w:noProof/>
        </w:rPr>
        <w:t>PCR</w:t>
      </w:r>
      <w:r w:rsidRPr="00A657B6">
        <w:rPr>
          <w:noProof/>
        </w:rPr>
        <w:t xml:space="preserve"> strip securely in </w:t>
      </w:r>
      <w:r w:rsidR="009F36C4" w:rsidRPr="00A657B6">
        <w:rPr>
          <w:noProof/>
        </w:rPr>
        <w:t>therm</w:t>
      </w:r>
      <w:r w:rsidR="009F36C4">
        <w:rPr>
          <w:noProof/>
        </w:rPr>
        <w:t>o</w:t>
      </w:r>
      <w:r w:rsidRPr="00A657B6">
        <w:rPr>
          <w:noProof/>
        </w:rPr>
        <w:t>cycler</w:t>
      </w:r>
      <w:r w:rsidR="00C0069E" w:rsidRPr="00A657B6">
        <w:rPr>
          <w:noProof/>
        </w:rPr>
        <w:t xml:space="preserve">. Press down to ensure tubes </w:t>
      </w:r>
      <w:r w:rsidR="00050B43" w:rsidRPr="00A657B6">
        <w:rPr>
          <w:noProof/>
        </w:rPr>
        <w:t xml:space="preserve">are </w:t>
      </w:r>
      <w:r w:rsidR="00C0069E" w:rsidRPr="00A657B6">
        <w:rPr>
          <w:noProof/>
        </w:rPr>
        <w:t>secure</w:t>
      </w:r>
      <w:r w:rsidR="00050B43" w:rsidRPr="00A657B6">
        <w:rPr>
          <w:noProof/>
        </w:rPr>
        <w:t>d</w:t>
      </w:r>
      <w:r w:rsidR="00C0069E" w:rsidRPr="00A657B6">
        <w:rPr>
          <w:noProof/>
        </w:rPr>
        <w:t>.</w:t>
      </w:r>
    </w:p>
    <w:p w14:paraId="03755E12" w14:textId="77777777" w:rsidR="00B10A91" w:rsidRPr="00A657B6" w:rsidRDefault="00B10A91" w:rsidP="00A12A08">
      <w:pPr>
        <w:pStyle w:val="ListParagraph"/>
        <w:ind w:left="792"/>
        <w:rPr>
          <w:noProof/>
        </w:rPr>
      </w:pPr>
    </w:p>
    <w:p w14:paraId="645BB009" w14:textId="57D604D7" w:rsidR="00672E0D" w:rsidRPr="00A657B6" w:rsidRDefault="009F36C4" w:rsidP="00B96FDF">
      <w:pPr>
        <w:pStyle w:val="ListParagraph"/>
        <w:numPr>
          <w:ilvl w:val="1"/>
          <w:numId w:val="32"/>
        </w:numPr>
        <w:ind w:left="990" w:hanging="630"/>
        <w:rPr>
          <w:noProof/>
        </w:rPr>
      </w:pPr>
      <w:r>
        <w:rPr>
          <w:noProof/>
        </w:rPr>
        <w:t>Set the thermocycler to run the program appropriate for the RT being used</w:t>
      </w:r>
      <w:r w:rsidR="00050B43" w:rsidRPr="00A657B6">
        <w:rPr>
          <w:noProof/>
        </w:rPr>
        <w:t xml:space="preserve"> (</w:t>
      </w:r>
      <w:r>
        <w:rPr>
          <w:noProof/>
        </w:rPr>
        <w:t xml:space="preserve">see </w:t>
      </w:r>
      <w:r w:rsidR="00520D73" w:rsidRPr="00A657B6">
        <w:rPr>
          <w:b/>
          <w:noProof/>
        </w:rPr>
        <w:t>Table 2</w:t>
      </w:r>
      <w:r>
        <w:rPr>
          <w:noProof/>
        </w:rPr>
        <w:t xml:space="preserve"> for a sample protocol</w:t>
      </w:r>
      <w:r w:rsidR="00050B43" w:rsidRPr="00A657B6">
        <w:rPr>
          <w:noProof/>
        </w:rPr>
        <w:t>).</w:t>
      </w:r>
      <w:r>
        <w:rPr>
          <w:noProof/>
        </w:rPr>
        <w:t xml:space="preserve"> When the program is complete, the tubes will c</w:t>
      </w:r>
      <w:r w:rsidR="00672E0D" w:rsidRPr="00A657B6">
        <w:rPr>
          <w:noProof/>
        </w:rPr>
        <w:t>ontain cDNA product</w:t>
      </w:r>
      <w:r w:rsidR="00B575DD">
        <w:rPr>
          <w:noProof/>
        </w:rPr>
        <w:t>s</w:t>
      </w:r>
      <w:r>
        <w:rPr>
          <w:noProof/>
        </w:rPr>
        <w:t xml:space="preserve">, which can then be subjected to PCR amplification. For details, please refer to the JoVE Science Education videos on PCR and quantitative PCR. </w:t>
      </w:r>
      <w:r w:rsidR="00050B43" w:rsidRPr="00A657B6">
        <w:rPr>
          <w:noProof/>
        </w:rPr>
        <w:t xml:space="preserve">Store </w:t>
      </w:r>
      <w:r w:rsidR="00672E0D" w:rsidRPr="00A657B6">
        <w:rPr>
          <w:noProof/>
        </w:rPr>
        <w:t xml:space="preserve">cDNA </w:t>
      </w:r>
      <w:r w:rsidR="00050B43" w:rsidRPr="00A657B6">
        <w:rPr>
          <w:noProof/>
        </w:rPr>
        <w:t xml:space="preserve">at </w:t>
      </w:r>
      <w:r w:rsidR="00672E0D" w:rsidRPr="00A657B6">
        <w:rPr>
          <w:noProof/>
        </w:rPr>
        <w:t xml:space="preserve">-20 </w:t>
      </w:r>
      <w:r w:rsidR="00F923B0" w:rsidRPr="009F36C4">
        <w:rPr>
          <w:rFonts w:ascii="Cambria" w:hAnsi="Cambria"/>
          <w:noProof/>
        </w:rPr>
        <w:t>°</w:t>
      </w:r>
      <w:r w:rsidR="00672E0D" w:rsidRPr="00A657B6">
        <w:rPr>
          <w:noProof/>
        </w:rPr>
        <w:t>C</w:t>
      </w:r>
      <w:r>
        <w:rPr>
          <w:noProof/>
        </w:rPr>
        <w:t xml:space="preserve"> until use</w:t>
      </w:r>
      <w:r w:rsidR="00672E0D" w:rsidRPr="00A657B6">
        <w:rPr>
          <w:noProof/>
        </w:rPr>
        <w:t>.</w:t>
      </w:r>
    </w:p>
    <w:p w14:paraId="0DF0EB8F" w14:textId="77777777" w:rsidR="001B08B5" w:rsidRDefault="001B08B5" w:rsidP="001B08B5"/>
    <w:p w14:paraId="28203C88" w14:textId="09D6650F" w:rsidR="001B08B5" w:rsidRPr="00B96FDF" w:rsidRDefault="001B08B5" w:rsidP="001B08B5">
      <w:pPr>
        <w:rPr>
          <w:b/>
        </w:rPr>
      </w:pPr>
      <w:r w:rsidRPr="001B08B5">
        <w:rPr>
          <w:b/>
        </w:rPr>
        <w:t>Figure 2.</w:t>
      </w:r>
      <w:r w:rsidRPr="00B96FDF">
        <w:rPr>
          <w:b/>
        </w:rPr>
        <w:t xml:space="preserve"> Capped 8-tube strip containing master mix and extract.</w:t>
      </w:r>
    </w:p>
    <w:p w14:paraId="77BEF75B" w14:textId="77777777" w:rsidR="001B08B5" w:rsidRPr="00B96FDF" w:rsidRDefault="001B08B5" w:rsidP="001B08B5">
      <w:pPr>
        <w:rPr>
          <w:b/>
        </w:rPr>
      </w:pPr>
    </w:p>
    <w:p w14:paraId="742468F9" w14:textId="10271833" w:rsidR="001B08B5" w:rsidRPr="00B96FDF" w:rsidRDefault="001B08B5" w:rsidP="001B08B5">
      <w:pPr>
        <w:rPr>
          <w:b/>
        </w:rPr>
      </w:pPr>
      <w:r>
        <w:rPr>
          <w:b/>
        </w:rPr>
        <w:t>Table 1.</w:t>
      </w:r>
      <w:r w:rsidRPr="001B08B5">
        <w:rPr>
          <w:b/>
        </w:rPr>
        <w:t xml:space="preserve"> RT</w:t>
      </w:r>
      <w:r w:rsidRPr="00B96FDF">
        <w:rPr>
          <w:b/>
        </w:rPr>
        <w:t xml:space="preserve"> Master Mix Ingredients.</w:t>
      </w:r>
      <w:r w:rsidR="00121302">
        <w:rPr>
          <w:b/>
        </w:rPr>
        <w:t xml:space="preserve"> </w:t>
      </w:r>
      <w:r w:rsidR="00121302" w:rsidRPr="00282E29">
        <w:rPr>
          <w:color w:val="FF0000"/>
        </w:rPr>
        <w:t>[</w:t>
      </w:r>
      <w:r w:rsidR="00121302">
        <w:rPr>
          <w:color w:val="FF0000"/>
        </w:rPr>
        <w:t>Note to text integrator: Please only include the two left columns in the provided table</w:t>
      </w:r>
      <w:r w:rsidR="00121302" w:rsidRPr="00282E29">
        <w:rPr>
          <w:color w:val="FF0000"/>
        </w:rPr>
        <w:t>]</w:t>
      </w:r>
    </w:p>
    <w:p w14:paraId="33DC0FAB" w14:textId="77777777" w:rsidR="001B08B5" w:rsidRPr="00B96FDF" w:rsidRDefault="001B08B5" w:rsidP="001B08B5">
      <w:pPr>
        <w:rPr>
          <w:b/>
        </w:rPr>
      </w:pPr>
    </w:p>
    <w:p w14:paraId="1C51ECAA" w14:textId="6BEB76AA" w:rsidR="001B08B5" w:rsidRPr="00A657B6" w:rsidRDefault="001B08B5" w:rsidP="001B08B5">
      <w:r w:rsidRPr="00F54992">
        <w:rPr>
          <w:b/>
        </w:rPr>
        <w:t>Table 2.</w:t>
      </w:r>
      <w:r w:rsidRPr="00B96FDF">
        <w:rPr>
          <w:b/>
        </w:rPr>
        <w:t xml:space="preserve"> RT Reaction </w:t>
      </w:r>
      <w:proofErr w:type="spellStart"/>
      <w:r w:rsidR="00F54992">
        <w:rPr>
          <w:b/>
        </w:rPr>
        <w:t>Thermocycler</w:t>
      </w:r>
      <w:proofErr w:type="spellEnd"/>
      <w:r w:rsidR="00F54992">
        <w:rPr>
          <w:b/>
        </w:rPr>
        <w:t xml:space="preserve"> Program</w:t>
      </w:r>
      <w:r w:rsidRPr="00B96FDF">
        <w:rPr>
          <w:b/>
        </w:rPr>
        <w:t>.</w:t>
      </w:r>
    </w:p>
    <w:p w14:paraId="6F880814" w14:textId="77777777" w:rsidR="00F9260B" w:rsidRPr="00A657B6" w:rsidRDefault="00F9260B" w:rsidP="00D31D56">
      <w:pPr>
        <w:rPr>
          <w:noProof/>
        </w:rPr>
      </w:pPr>
    </w:p>
    <w:p w14:paraId="6E899075" w14:textId="60AEAFA2" w:rsidR="001B08B5" w:rsidRDefault="001B08B5" w:rsidP="003A6C87">
      <w:r>
        <w:rPr>
          <w:b/>
        </w:rPr>
        <w:t>Results:</w:t>
      </w:r>
    </w:p>
    <w:p w14:paraId="2894D5DC" w14:textId="77777777" w:rsidR="001B08B5" w:rsidRDefault="001B08B5" w:rsidP="003A6C87"/>
    <w:p w14:paraId="70DD23FF" w14:textId="069480A0" w:rsidR="001B08B5" w:rsidRDefault="00DA154F" w:rsidP="003A6C87">
      <w:pPr>
        <w:rPr>
          <w:rFonts w:ascii="Cambria" w:hAnsi="Cambria"/>
        </w:rPr>
      </w:pPr>
      <w:r w:rsidRPr="00B8416C">
        <w:rPr>
          <w:rFonts w:ascii="Cambria" w:hAnsi="Cambria"/>
        </w:rPr>
        <w:t xml:space="preserve">When </w:t>
      </w:r>
      <w:r>
        <w:rPr>
          <w:rFonts w:ascii="Cambria" w:hAnsi="Cambria"/>
        </w:rPr>
        <w:t>RT-</w:t>
      </w:r>
      <w:r w:rsidRPr="00B8416C">
        <w:rPr>
          <w:rFonts w:ascii="Cambria" w:hAnsi="Cambria"/>
        </w:rPr>
        <w:t xml:space="preserve"> </w:t>
      </w:r>
      <w:r>
        <w:rPr>
          <w:rFonts w:ascii="Cambria" w:hAnsi="Cambria"/>
        </w:rPr>
        <w:t>PCR is complete</w:t>
      </w:r>
      <w:r w:rsidRPr="00B8416C">
        <w:rPr>
          <w:rFonts w:ascii="Cambria" w:hAnsi="Cambria"/>
        </w:rPr>
        <w:t xml:space="preserve">, </w:t>
      </w:r>
      <w:r>
        <w:rPr>
          <w:rFonts w:ascii="Cambria" w:hAnsi="Cambria"/>
        </w:rPr>
        <w:t>some of the PCR product can be separated and visualized</w:t>
      </w:r>
      <w:r w:rsidRPr="00B8416C">
        <w:rPr>
          <w:rFonts w:ascii="Cambria" w:hAnsi="Cambria"/>
        </w:rPr>
        <w:t xml:space="preserve"> on an agarose gel</w:t>
      </w:r>
      <w:r>
        <w:rPr>
          <w:rFonts w:ascii="Cambria" w:hAnsi="Cambria"/>
        </w:rPr>
        <w:t xml:space="preserve"> (</w:t>
      </w:r>
      <w:r>
        <w:rPr>
          <w:rFonts w:ascii="Cambria" w:hAnsi="Cambria"/>
          <w:b/>
        </w:rPr>
        <w:t>Figure 3</w:t>
      </w:r>
      <w:r>
        <w:rPr>
          <w:rFonts w:ascii="Cambria" w:hAnsi="Cambria"/>
        </w:rPr>
        <w:t>)</w:t>
      </w:r>
      <w:r w:rsidRPr="00B8416C">
        <w:rPr>
          <w:rFonts w:ascii="Cambria" w:hAnsi="Cambria"/>
        </w:rPr>
        <w:t>.</w:t>
      </w:r>
      <w:r w:rsidRPr="00DC4711">
        <w:rPr>
          <w:rFonts w:ascii="Cambria" w:hAnsi="Cambria"/>
          <w:i/>
        </w:rPr>
        <w:t xml:space="preserve"> </w:t>
      </w:r>
      <w:r>
        <w:rPr>
          <w:rFonts w:ascii="Cambria" w:hAnsi="Cambria"/>
        </w:rPr>
        <w:t>In this example</w:t>
      </w:r>
      <w:r w:rsidRPr="00B8416C">
        <w:rPr>
          <w:rFonts w:ascii="Cambria" w:hAnsi="Cambria"/>
        </w:rPr>
        <w:t>, a gene</w:t>
      </w:r>
      <w:r>
        <w:rPr>
          <w:rFonts w:ascii="Cambria" w:hAnsi="Cambria"/>
        </w:rPr>
        <w:t>-</w:t>
      </w:r>
      <w:r w:rsidRPr="00B8416C">
        <w:rPr>
          <w:rFonts w:ascii="Cambria" w:hAnsi="Cambria"/>
        </w:rPr>
        <w:t>specific primer was use</w:t>
      </w:r>
      <w:r>
        <w:rPr>
          <w:rFonts w:ascii="Cambria" w:hAnsi="Cambria"/>
        </w:rPr>
        <w:t>d to detect for the presence of an RNA virus.</w:t>
      </w:r>
      <w:r w:rsidRPr="00B8416C">
        <w:rPr>
          <w:rFonts w:ascii="Cambria" w:hAnsi="Cambria"/>
        </w:rPr>
        <w:t xml:space="preserve"> </w:t>
      </w:r>
      <w:r>
        <w:rPr>
          <w:rFonts w:ascii="Cambria" w:hAnsi="Cambria"/>
        </w:rPr>
        <w:t>B</w:t>
      </w:r>
      <w:r w:rsidRPr="00B8416C">
        <w:rPr>
          <w:rFonts w:ascii="Cambria" w:hAnsi="Cambria"/>
        </w:rPr>
        <w:t xml:space="preserve">ands of </w:t>
      </w:r>
      <w:r>
        <w:rPr>
          <w:rFonts w:ascii="Cambria" w:hAnsi="Cambria"/>
        </w:rPr>
        <w:t xml:space="preserve">the </w:t>
      </w:r>
      <w:r w:rsidRPr="00B8416C">
        <w:rPr>
          <w:rFonts w:ascii="Cambria" w:hAnsi="Cambria"/>
        </w:rPr>
        <w:t xml:space="preserve">expected size </w:t>
      </w:r>
      <w:r>
        <w:rPr>
          <w:rFonts w:ascii="Cambria" w:hAnsi="Cambria"/>
        </w:rPr>
        <w:t xml:space="preserve">are obtained from two of the samples and the positive control reaction, but not from the negative control, indicating the presence of this virus in two of the </w:t>
      </w:r>
      <w:r w:rsidRPr="00076B2D">
        <w:rPr>
          <w:rFonts w:ascii="Cambria" w:hAnsi="Cambria"/>
        </w:rPr>
        <w:t>water sample</w:t>
      </w:r>
      <w:r>
        <w:rPr>
          <w:rFonts w:ascii="Cambria" w:hAnsi="Cambria"/>
        </w:rPr>
        <w:t>s being tested</w:t>
      </w:r>
      <w:r w:rsidRPr="00B8416C">
        <w:rPr>
          <w:rFonts w:ascii="Cambria" w:hAnsi="Cambria"/>
        </w:rPr>
        <w:t>.</w:t>
      </w:r>
    </w:p>
    <w:p w14:paraId="0A173506" w14:textId="77777777" w:rsidR="00DA154F" w:rsidRDefault="00DA154F" w:rsidP="003A6C87">
      <w:pPr>
        <w:rPr>
          <w:rFonts w:ascii="Cambria" w:hAnsi="Cambria"/>
        </w:rPr>
      </w:pPr>
    </w:p>
    <w:p w14:paraId="3759D1D1" w14:textId="347B1292" w:rsidR="00DA154F" w:rsidRPr="00487A2C" w:rsidRDefault="00DA154F" w:rsidP="003A6C87">
      <w:r>
        <w:rPr>
          <w:rFonts w:ascii="Cambria" w:hAnsi="Cambria"/>
          <w:b/>
        </w:rPr>
        <w:t>Figure 3. Gel electrophoresis of RT-PCR products.</w:t>
      </w:r>
      <w:r>
        <w:rPr>
          <w:rFonts w:ascii="Cambria" w:hAnsi="Cambria"/>
        </w:rPr>
        <w:t xml:space="preserve"> M: DNA size marker; P: positive control; N: negative control. Reactions using RNA from four water samples were run in lanes 1, 2, 3, and 5.</w:t>
      </w:r>
    </w:p>
    <w:p w14:paraId="2E77CB98" w14:textId="77777777" w:rsidR="001B08B5" w:rsidRDefault="001B08B5" w:rsidP="003A6C87">
      <w:pPr>
        <w:rPr>
          <w:b/>
        </w:rPr>
      </w:pPr>
    </w:p>
    <w:p w14:paraId="3BF5FAFF" w14:textId="77777777" w:rsidR="00600EBA" w:rsidRPr="00A657B6" w:rsidRDefault="003D08A1" w:rsidP="003A6C87">
      <w:pPr>
        <w:rPr>
          <w:b/>
        </w:rPr>
      </w:pPr>
      <w:r w:rsidRPr="00A657B6">
        <w:rPr>
          <w:b/>
        </w:rPr>
        <w:t>Applications:</w:t>
      </w:r>
    </w:p>
    <w:p w14:paraId="4595AB04" w14:textId="66AAE4F2" w:rsidR="001B2EE5" w:rsidRPr="00A657B6" w:rsidRDefault="006121AA" w:rsidP="003A6C87">
      <w:pPr>
        <w:rPr>
          <w:b/>
        </w:rPr>
      </w:pPr>
      <w:r w:rsidRPr="00A657B6">
        <w:rPr>
          <w:b/>
        </w:rPr>
        <w:tab/>
      </w:r>
    </w:p>
    <w:p w14:paraId="362A1A1F" w14:textId="550681EC" w:rsidR="002861E8" w:rsidRPr="00A657B6" w:rsidRDefault="008771F6" w:rsidP="00A12A08">
      <w:r w:rsidRPr="00A657B6">
        <w:t xml:space="preserve">RT-PCR is necessary </w:t>
      </w:r>
      <w:r w:rsidR="00B842B1">
        <w:t>for</w:t>
      </w:r>
      <w:r w:rsidR="00B842B1" w:rsidRPr="00A657B6">
        <w:t xml:space="preserve"> </w:t>
      </w:r>
      <w:r w:rsidRPr="00A657B6">
        <w:t>creat</w:t>
      </w:r>
      <w:r w:rsidR="00B842B1">
        <w:t>ing</w:t>
      </w:r>
      <w:r w:rsidRPr="00A657B6">
        <w:t xml:space="preserve"> </w:t>
      </w:r>
      <w:proofErr w:type="spellStart"/>
      <w:r w:rsidRPr="00A657B6">
        <w:t>cDNA</w:t>
      </w:r>
      <w:proofErr w:type="spellEnd"/>
      <w:r w:rsidRPr="00A657B6">
        <w:t xml:space="preserve"> from a</w:t>
      </w:r>
      <w:r w:rsidR="00B842B1">
        <w:t>n</w:t>
      </w:r>
      <w:r w:rsidRPr="00A657B6">
        <w:t xml:space="preserve"> RNA template. This enables RNA</w:t>
      </w:r>
      <w:r w:rsidR="007C3D43" w:rsidRPr="00A657B6">
        <w:t>-</w:t>
      </w:r>
      <w:r w:rsidRPr="00A657B6">
        <w:t xml:space="preserve">based microorganisms to be analyzed utilizing </w:t>
      </w:r>
      <w:r w:rsidR="00B842B1">
        <w:t xml:space="preserve">molecular </w:t>
      </w:r>
      <w:r w:rsidRPr="00A657B6">
        <w:t xml:space="preserve">assays </w:t>
      </w:r>
      <w:r w:rsidR="00B842B1">
        <w:t>developed for DNA</w:t>
      </w:r>
      <w:r w:rsidRPr="00A657B6">
        <w:t xml:space="preserve">. Once the </w:t>
      </w:r>
      <w:proofErr w:type="spellStart"/>
      <w:r w:rsidR="00B842B1">
        <w:t>cDNA</w:t>
      </w:r>
      <w:proofErr w:type="spellEnd"/>
      <w:r w:rsidRPr="00A657B6">
        <w:t xml:space="preserve"> is </w:t>
      </w:r>
      <w:r w:rsidR="00B842B1">
        <w:t>synthesized</w:t>
      </w:r>
      <w:r w:rsidR="007C3D43" w:rsidRPr="00A657B6">
        <w:t>,</w:t>
      </w:r>
      <w:r w:rsidRPr="00A657B6">
        <w:t xml:space="preserve"> PCR assays can determi</w:t>
      </w:r>
      <w:r w:rsidR="002861E8" w:rsidRPr="00A657B6">
        <w:t>ne the presence or absence</w:t>
      </w:r>
      <w:r w:rsidRPr="00A657B6">
        <w:t xml:space="preserve"> </w:t>
      </w:r>
      <w:r w:rsidR="007C3D43" w:rsidRPr="00A657B6">
        <w:t xml:space="preserve">of </w:t>
      </w:r>
      <w:r w:rsidRPr="00A657B6">
        <w:t>RNA</w:t>
      </w:r>
      <w:r w:rsidR="007C3D43" w:rsidRPr="00A657B6">
        <w:t>-</w:t>
      </w:r>
      <w:r w:rsidRPr="00A657B6">
        <w:t xml:space="preserve">based microorganisms </w:t>
      </w:r>
      <w:r w:rsidR="002861E8" w:rsidRPr="00A657B6">
        <w:t>within an environmental sample. This enables further downstream analysis to determine microbial ecology, health risks, and environmental risks.</w:t>
      </w:r>
    </w:p>
    <w:p w14:paraId="63375AE3" w14:textId="77777777" w:rsidR="00B10A91" w:rsidRPr="00A657B6" w:rsidRDefault="00B10A91" w:rsidP="002861E8">
      <w:pPr>
        <w:ind w:firstLine="720"/>
      </w:pPr>
    </w:p>
    <w:p w14:paraId="66E7492E" w14:textId="513BE3B9" w:rsidR="002861E8" w:rsidRPr="00A657B6" w:rsidRDefault="002861E8" w:rsidP="00A12A08">
      <w:r w:rsidRPr="00A657B6">
        <w:lastRenderedPageBreak/>
        <w:t xml:space="preserve">RT-PCR can </w:t>
      </w:r>
      <w:r w:rsidR="00B842B1">
        <w:t xml:space="preserve">also </w:t>
      </w:r>
      <w:r w:rsidRPr="00A657B6">
        <w:t xml:space="preserve">be utilized to </w:t>
      </w:r>
      <w:r w:rsidR="00B842B1">
        <w:t>assay</w:t>
      </w:r>
      <w:r w:rsidR="00B842B1" w:rsidRPr="00A657B6">
        <w:t xml:space="preserve"> </w:t>
      </w:r>
      <w:r w:rsidRPr="00A657B6">
        <w:t>mRNA as a means to observe which genes are being expressed</w:t>
      </w:r>
      <w:r w:rsidR="00940EC9" w:rsidRPr="00A657B6">
        <w:t xml:space="preserve"> </w:t>
      </w:r>
      <w:r w:rsidRPr="00A657B6">
        <w:t xml:space="preserve">in an environment. This provides information </w:t>
      </w:r>
      <w:r w:rsidR="00B842B1">
        <w:t>about</w:t>
      </w:r>
      <w:r w:rsidR="00B842B1" w:rsidRPr="00A657B6">
        <w:t xml:space="preserve"> </w:t>
      </w:r>
      <w:r w:rsidRPr="00A657B6">
        <w:t>which protein</w:t>
      </w:r>
      <w:r w:rsidR="00B842B1">
        <w:t>s</w:t>
      </w:r>
      <w:r w:rsidRPr="00A657B6">
        <w:t xml:space="preserve"> </w:t>
      </w:r>
      <w:r w:rsidR="00940EC9" w:rsidRPr="00A657B6">
        <w:t xml:space="preserve">and </w:t>
      </w:r>
      <w:r w:rsidR="00B842B1">
        <w:t>pathways</w:t>
      </w:r>
      <w:r w:rsidR="00B842B1" w:rsidRPr="00A657B6">
        <w:t xml:space="preserve"> </w:t>
      </w:r>
      <w:r w:rsidRPr="00A657B6">
        <w:t xml:space="preserve">microbes rely on to survive in </w:t>
      </w:r>
      <w:r w:rsidR="00B842B1">
        <w:t>particular</w:t>
      </w:r>
      <w:r w:rsidR="00B842B1" w:rsidRPr="00A657B6">
        <w:t xml:space="preserve"> </w:t>
      </w:r>
      <w:r w:rsidRPr="00A657B6">
        <w:t>environment</w:t>
      </w:r>
      <w:r w:rsidR="00B842B1">
        <w:t>al conditions</w:t>
      </w:r>
      <w:r w:rsidRPr="00A657B6">
        <w:t>. Gene expr</w:t>
      </w:r>
      <w:r w:rsidR="00940EC9" w:rsidRPr="00A657B6">
        <w:t xml:space="preserve">ession </w:t>
      </w:r>
      <w:r w:rsidR="00B842B1">
        <w:t xml:space="preserve">analyses </w:t>
      </w:r>
      <w:r w:rsidR="00940EC9" w:rsidRPr="00A657B6">
        <w:t xml:space="preserve">can </w:t>
      </w:r>
      <w:r w:rsidR="00B842B1">
        <w:t>identify</w:t>
      </w:r>
      <w:r w:rsidR="00B842B1" w:rsidRPr="00A657B6">
        <w:t xml:space="preserve"> </w:t>
      </w:r>
      <w:r w:rsidRPr="00A657B6">
        <w:t xml:space="preserve">microbial pathways that breakdown </w:t>
      </w:r>
      <w:r w:rsidR="00B842B1">
        <w:t xml:space="preserve">environmental </w:t>
      </w:r>
      <w:r w:rsidRPr="00A657B6">
        <w:t>contaminants such as hydrocarbons or chlorinated solvents, and microbes</w:t>
      </w:r>
      <w:r w:rsidR="00B842B1">
        <w:t xml:space="preserve"> with these pathways</w:t>
      </w:r>
      <w:r w:rsidRPr="00A657B6">
        <w:t xml:space="preserve"> can be </w:t>
      </w:r>
      <w:r w:rsidR="00B842B1">
        <w:t>harnessed</w:t>
      </w:r>
      <w:r w:rsidR="00B842B1" w:rsidRPr="00A657B6">
        <w:t xml:space="preserve"> </w:t>
      </w:r>
      <w:r w:rsidR="00940EC9" w:rsidRPr="00A657B6">
        <w:t>for bioremediation.</w:t>
      </w:r>
    </w:p>
    <w:p w14:paraId="5DA6977F" w14:textId="77777777" w:rsidR="00B10A91" w:rsidRPr="00A657B6" w:rsidRDefault="00B10A91" w:rsidP="00A12A08"/>
    <w:p w14:paraId="63F11BD3" w14:textId="0B7D4719" w:rsidR="00050B43" w:rsidRPr="00A657B6" w:rsidRDefault="00940EC9" w:rsidP="00A12A08">
      <w:r w:rsidRPr="00A657B6">
        <w:t xml:space="preserve">Risk assessment incorporates RT-PCR in order to analyze human and environmental health risks. </w:t>
      </w:r>
      <w:r w:rsidR="00E54CF4" w:rsidRPr="00A657B6">
        <w:t>Combining RT with q</w:t>
      </w:r>
      <w:r w:rsidR="00B842B1">
        <w:t xml:space="preserve">uantitative </w:t>
      </w:r>
      <w:r w:rsidR="00E54CF4" w:rsidRPr="00A657B6">
        <w:t xml:space="preserve">PCR allows RNA viruses to be enumerated within samples, so that human and environmental exposure can be calculated for the </w:t>
      </w:r>
      <w:r w:rsidR="00D2445B">
        <w:t>purpose of</w:t>
      </w:r>
      <w:r w:rsidR="00D2445B" w:rsidRPr="00A657B6">
        <w:t xml:space="preserve"> </w:t>
      </w:r>
      <w:r w:rsidR="00E54CF4" w:rsidRPr="00A657B6">
        <w:t>Quantitative Microbial Risk Assessment (QMRA).</w:t>
      </w:r>
    </w:p>
    <w:sectPr w:rsidR="00050B43" w:rsidRPr="00A657B6" w:rsidSect="006E2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3253EEE" w15:done="0"/>
  <w15:commentEx w15:paraId="428BA09D" w15:done="0"/>
  <w15:commentEx w15:paraId="56E769A9" w15:done="0"/>
  <w15:commentEx w15:paraId="62008ED2" w15:paraIdParent="56E769A9" w15:done="0"/>
  <w15:commentEx w15:paraId="73E59CFB" w15:done="0"/>
  <w15:commentEx w15:paraId="1877F63C" w15:done="0"/>
  <w15:commentEx w15:paraId="056A65A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7B43"/>
    <w:multiLevelType w:val="hybridMultilevel"/>
    <w:tmpl w:val="14987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01ACB"/>
    <w:multiLevelType w:val="hybridMultilevel"/>
    <w:tmpl w:val="2DE2B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B2815"/>
    <w:multiLevelType w:val="hybridMultilevel"/>
    <w:tmpl w:val="CAAA6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D6800"/>
    <w:multiLevelType w:val="hybridMultilevel"/>
    <w:tmpl w:val="16A2A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E443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16629CF"/>
    <w:multiLevelType w:val="hybridMultilevel"/>
    <w:tmpl w:val="429829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100D19"/>
    <w:multiLevelType w:val="hybridMultilevel"/>
    <w:tmpl w:val="F5044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60A04"/>
    <w:multiLevelType w:val="hybridMultilevel"/>
    <w:tmpl w:val="C046F798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C60EA4"/>
    <w:multiLevelType w:val="hybridMultilevel"/>
    <w:tmpl w:val="B142A9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D3767F"/>
    <w:multiLevelType w:val="hybridMultilevel"/>
    <w:tmpl w:val="8A10F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4604F"/>
    <w:multiLevelType w:val="hybridMultilevel"/>
    <w:tmpl w:val="0D5A9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A609F9"/>
    <w:multiLevelType w:val="hybridMultilevel"/>
    <w:tmpl w:val="78B89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3748DF"/>
    <w:multiLevelType w:val="hybridMultilevel"/>
    <w:tmpl w:val="B7CECD6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7B2F90"/>
    <w:multiLevelType w:val="hybridMultilevel"/>
    <w:tmpl w:val="15F84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293951"/>
    <w:multiLevelType w:val="hybridMultilevel"/>
    <w:tmpl w:val="0CFC6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800862"/>
    <w:multiLevelType w:val="hybridMultilevel"/>
    <w:tmpl w:val="9044F4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E52440"/>
    <w:multiLevelType w:val="hybridMultilevel"/>
    <w:tmpl w:val="C3CAC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1080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0FF284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1592C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4035CA0"/>
    <w:multiLevelType w:val="hybridMultilevel"/>
    <w:tmpl w:val="780611A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886D0F"/>
    <w:multiLevelType w:val="hybridMultilevel"/>
    <w:tmpl w:val="CD4A2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9D064A"/>
    <w:multiLevelType w:val="hybridMultilevel"/>
    <w:tmpl w:val="D67A9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8622D2"/>
    <w:multiLevelType w:val="hybridMultilevel"/>
    <w:tmpl w:val="14987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573F8D"/>
    <w:multiLevelType w:val="hybridMultilevel"/>
    <w:tmpl w:val="A72CB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17095E"/>
    <w:multiLevelType w:val="multilevel"/>
    <w:tmpl w:val="D4BEFD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3D458D"/>
    <w:multiLevelType w:val="hybridMultilevel"/>
    <w:tmpl w:val="CD4A2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E747A1"/>
    <w:multiLevelType w:val="hybridMultilevel"/>
    <w:tmpl w:val="50CE7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873927"/>
    <w:multiLevelType w:val="hybridMultilevel"/>
    <w:tmpl w:val="77EAC1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411DA3"/>
    <w:multiLevelType w:val="hybridMultilevel"/>
    <w:tmpl w:val="4DECD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341126"/>
    <w:multiLevelType w:val="hybridMultilevel"/>
    <w:tmpl w:val="40043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113FF0"/>
    <w:multiLevelType w:val="hybridMultilevel"/>
    <w:tmpl w:val="132A8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A517DB"/>
    <w:multiLevelType w:val="hybridMultilevel"/>
    <w:tmpl w:val="C3620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C03CF8"/>
    <w:multiLevelType w:val="hybridMultilevel"/>
    <w:tmpl w:val="77EAC1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0329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D3F3B8A"/>
    <w:multiLevelType w:val="hybridMultilevel"/>
    <w:tmpl w:val="D4BEF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21"/>
  </w:num>
  <w:num w:numId="4">
    <w:abstractNumId w:val="13"/>
  </w:num>
  <w:num w:numId="5">
    <w:abstractNumId w:val="10"/>
  </w:num>
  <w:num w:numId="6">
    <w:abstractNumId w:val="27"/>
  </w:num>
  <w:num w:numId="7">
    <w:abstractNumId w:val="2"/>
  </w:num>
  <w:num w:numId="8">
    <w:abstractNumId w:val="14"/>
  </w:num>
  <w:num w:numId="9">
    <w:abstractNumId w:val="15"/>
  </w:num>
  <w:num w:numId="10">
    <w:abstractNumId w:val="3"/>
  </w:num>
  <w:num w:numId="11">
    <w:abstractNumId w:val="19"/>
  </w:num>
  <w:num w:numId="12">
    <w:abstractNumId w:val="35"/>
  </w:num>
  <w:num w:numId="13">
    <w:abstractNumId w:val="25"/>
  </w:num>
  <w:num w:numId="14">
    <w:abstractNumId w:val="1"/>
  </w:num>
  <w:num w:numId="15">
    <w:abstractNumId w:val="0"/>
  </w:num>
  <w:num w:numId="16">
    <w:abstractNumId w:val="23"/>
  </w:num>
  <w:num w:numId="17">
    <w:abstractNumId w:val="6"/>
  </w:num>
  <w:num w:numId="18">
    <w:abstractNumId w:val="32"/>
  </w:num>
  <w:num w:numId="19">
    <w:abstractNumId w:val="16"/>
  </w:num>
  <w:num w:numId="20">
    <w:abstractNumId w:val="11"/>
  </w:num>
  <w:num w:numId="21">
    <w:abstractNumId w:val="31"/>
  </w:num>
  <w:num w:numId="22">
    <w:abstractNumId w:val="5"/>
  </w:num>
  <w:num w:numId="23">
    <w:abstractNumId w:val="9"/>
  </w:num>
  <w:num w:numId="24">
    <w:abstractNumId w:val="24"/>
  </w:num>
  <w:num w:numId="25">
    <w:abstractNumId w:val="30"/>
  </w:num>
  <w:num w:numId="26">
    <w:abstractNumId w:val="20"/>
  </w:num>
  <w:num w:numId="27">
    <w:abstractNumId w:val="7"/>
  </w:num>
  <w:num w:numId="28">
    <w:abstractNumId w:val="12"/>
  </w:num>
  <w:num w:numId="29">
    <w:abstractNumId w:val="8"/>
  </w:num>
  <w:num w:numId="30">
    <w:abstractNumId w:val="28"/>
  </w:num>
  <w:num w:numId="31">
    <w:abstractNumId w:val="33"/>
  </w:num>
  <w:num w:numId="32">
    <w:abstractNumId w:val="17"/>
  </w:num>
  <w:num w:numId="33">
    <w:abstractNumId w:val="34"/>
  </w:num>
  <w:num w:numId="34">
    <w:abstractNumId w:val="29"/>
  </w:num>
  <w:num w:numId="35">
    <w:abstractNumId w:val="4"/>
  </w:num>
  <w:num w:numId="36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ob Roundy">
    <w15:presenceInfo w15:providerId="None" w15:userId="Jacob Round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70F"/>
    <w:rsid w:val="0000102F"/>
    <w:rsid w:val="00003815"/>
    <w:rsid w:val="00004CF1"/>
    <w:rsid w:val="000112C2"/>
    <w:rsid w:val="0001418D"/>
    <w:rsid w:val="00015E5B"/>
    <w:rsid w:val="0002078B"/>
    <w:rsid w:val="00021987"/>
    <w:rsid w:val="00022D1B"/>
    <w:rsid w:val="00023B96"/>
    <w:rsid w:val="00027BDA"/>
    <w:rsid w:val="00031B54"/>
    <w:rsid w:val="00031BE1"/>
    <w:rsid w:val="00032EEA"/>
    <w:rsid w:val="00036A60"/>
    <w:rsid w:val="000374C2"/>
    <w:rsid w:val="000434A9"/>
    <w:rsid w:val="00050B43"/>
    <w:rsid w:val="00052A86"/>
    <w:rsid w:val="00054ACC"/>
    <w:rsid w:val="00056C6B"/>
    <w:rsid w:val="00056F14"/>
    <w:rsid w:val="000646DE"/>
    <w:rsid w:val="00082371"/>
    <w:rsid w:val="00082D58"/>
    <w:rsid w:val="00090529"/>
    <w:rsid w:val="00095AE4"/>
    <w:rsid w:val="000A0BE9"/>
    <w:rsid w:val="000B2EEB"/>
    <w:rsid w:val="000B795A"/>
    <w:rsid w:val="000C0A46"/>
    <w:rsid w:val="000D4B81"/>
    <w:rsid w:val="000D556E"/>
    <w:rsid w:val="000E038B"/>
    <w:rsid w:val="000E2859"/>
    <w:rsid w:val="000E5422"/>
    <w:rsid w:val="000F19EE"/>
    <w:rsid w:val="000F49B9"/>
    <w:rsid w:val="001110DB"/>
    <w:rsid w:val="00112D8C"/>
    <w:rsid w:val="00117845"/>
    <w:rsid w:val="00117E79"/>
    <w:rsid w:val="00121302"/>
    <w:rsid w:val="00122AFF"/>
    <w:rsid w:val="00123594"/>
    <w:rsid w:val="00123E16"/>
    <w:rsid w:val="001242D3"/>
    <w:rsid w:val="001269FF"/>
    <w:rsid w:val="00127E7A"/>
    <w:rsid w:val="00127FB6"/>
    <w:rsid w:val="001351E7"/>
    <w:rsid w:val="0014030D"/>
    <w:rsid w:val="001405F7"/>
    <w:rsid w:val="0014737C"/>
    <w:rsid w:val="00164B1E"/>
    <w:rsid w:val="001713E8"/>
    <w:rsid w:val="0017326D"/>
    <w:rsid w:val="00174283"/>
    <w:rsid w:val="0018139B"/>
    <w:rsid w:val="0018503E"/>
    <w:rsid w:val="001916CF"/>
    <w:rsid w:val="00192B74"/>
    <w:rsid w:val="00194057"/>
    <w:rsid w:val="001A16B1"/>
    <w:rsid w:val="001A4CC4"/>
    <w:rsid w:val="001B08B5"/>
    <w:rsid w:val="001B2EE5"/>
    <w:rsid w:val="001C120F"/>
    <w:rsid w:val="001C2CE7"/>
    <w:rsid w:val="001C2E19"/>
    <w:rsid w:val="001C3FFB"/>
    <w:rsid w:val="001C5D9D"/>
    <w:rsid w:val="001C780A"/>
    <w:rsid w:val="001D195A"/>
    <w:rsid w:val="001D3B00"/>
    <w:rsid w:val="001D685A"/>
    <w:rsid w:val="001E1F57"/>
    <w:rsid w:val="001E5183"/>
    <w:rsid w:val="001E5A5D"/>
    <w:rsid w:val="002045C8"/>
    <w:rsid w:val="00204680"/>
    <w:rsid w:val="00206855"/>
    <w:rsid w:val="002157C1"/>
    <w:rsid w:val="00242477"/>
    <w:rsid w:val="00245F09"/>
    <w:rsid w:val="0024768B"/>
    <w:rsid w:val="002534E0"/>
    <w:rsid w:val="00266C93"/>
    <w:rsid w:val="0027582C"/>
    <w:rsid w:val="00280843"/>
    <w:rsid w:val="00282E29"/>
    <w:rsid w:val="002861E8"/>
    <w:rsid w:val="00286B07"/>
    <w:rsid w:val="00294DC2"/>
    <w:rsid w:val="002A7D1F"/>
    <w:rsid w:val="002B0DA0"/>
    <w:rsid w:val="002B3D05"/>
    <w:rsid w:val="002B5A9E"/>
    <w:rsid w:val="002C0577"/>
    <w:rsid w:val="002C1BAF"/>
    <w:rsid w:val="002D14DA"/>
    <w:rsid w:val="002E092B"/>
    <w:rsid w:val="002F51A5"/>
    <w:rsid w:val="00301424"/>
    <w:rsid w:val="00303CA7"/>
    <w:rsid w:val="00307C7F"/>
    <w:rsid w:val="00310D1B"/>
    <w:rsid w:val="00313303"/>
    <w:rsid w:val="00313FF9"/>
    <w:rsid w:val="00334600"/>
    <w:rsid w:val="0033547A"/>
    <w:rsid w:val="00337FB2"/>
    <w:rsid w:val="003403FE"/>
    <w:rsid w:val="00343EEC"/>
    <w:rsid w:val="003519CD"/>
    <w:rsid w:val="00357055"/>
    <w:rsid w:val="003600F8"/>
    <w:rsid w:val="003627EC"/>
    <w:rsid w:val="003633F5"/>
    <w:rsid w:val="00363B79"/>
    <w:rsid w:val="003640D7"/>
    <w:rsid w:val="0038738F"/>
    <w:rsid w:val="00394CCF"/>
    <w:rsid w:val="00395134"/>
    <w:rsid w:val="003A6C87"/>
    <w:rsid w:val="003A7BB0"/>
    <w:rsid w:val="003A7F36"/>
    <w:rsid w:val="003D08A1"/>
    <w:rsid w:val="003D293F"/>
    <w:rsid w:val="003D2A63"/>
    <w:rsid w:val="003D3E04"/>
    <w:rsid w:val="003E074E"/>
    <w:rsid w:val="003E634D"/>
    <w:rsid w:val="003F0582"/>
    <w:rsid w:val="004000AE"/>
    <w:rsid w:val="00404417"/>
    <w:rsid w:val="0040605F"/>
    <w:rsid w:val="00436639"/>
    <w:rsid w:val="004377F6"/>
    <w:rsid w:val="0045236A"/>
    <w:rsid w:val="004539A6"/>
    <w:rsid w:val="0045792A"/>
    <w:rsid w:val="00463068"/>
    <w:rsid w:val="0047055F"/>
    <w:rsid w:val="00470754"/>
    <w:rsid w:val="00470B11"/>
    <w:rsid w:val="00482CEE"/>
    <w:rsid w:val="00486DF3"/>
    <w:rsid w:val="00487A2C"/>
    <w:rsid w:val="004A766A"/>
    <w:rsid w:val="004D04E5"/>
    <w:rsid w:val="004D2FFC"/>
    <w:rsid w:val="004E2CA1"/>
    <w:rsid w:val="004E5596"/>
    <w:rsid w:val="004F33BC"/>
    <w:rsid w:val="004F392B"/>
    <w:rsid w:val="004F769F"/>
    <w:rsid w:val="00502F9F"/>
    <w:rsid w:val="00503DE3"/>
    <w:rsid w:val="00512ADA"/>
    <w:rsid w:val="005146ED"/>
    <w:rsid w:val="00520D73"/>
    <w:rsid w:val="00522E35"/>
    <w:rsid w:val="00525591"/>
    <w:rsid w:val="0053335E"/>
    <w:rsid w:val="005347F8"/>
    <w:rsid w:val="00535B0C"/>
    <w:rsid w:val="005436E4"/>
    <w:rsid w:val="005455FD"/>
    <w:rsid w:val="00552DFB"/>
    <w:rsid w:val="005660A0"/>
    <w:rsid w:val="00585017"/>
    <w:rsid w:val="005864E5"/>
    <w:rsid w:val="005A0ACC"/>
    <w:rsid w:val="005A6B50"/>
    <w:rsid w:val="005B098E"/>
    <w:rsid w:val="005B1975"/>
    <w:rsid w:val="005B376F"/>
    <w:rsid w:val="005B3C57"/>
    <w:rsid w:val="005B5E3B"/>
    <w:rsid w:val="005B7AB1"/>
    <w:rsid w:val="005C297A"/>
    <w:rsid w:val="005D2645"/>
    <w:rsid w:val="005D6BBD"/>
    <w:rsid w:val="005E24C7"/>
    <w:rsid w:val="0060017E"/>
    <w:rsid w:val="00600EBA"/>
    <w:rsid w:val="006028C0"/>
    <w:rsid w:val="00604242"/>
    <w:rsid w:val="00607BA6"/>
    <w:rsid w:val="0061198E"/>
    <w:rsid w:val="006121AA"/>
    <w:rsid w:val="006146C1"/>
    <w:rsid w:val="0062216E"/>
    <w:rsid w:val="00622B4C"/>
    <w:rsid w:val="006414C2"/>
    <w:rsid w:val="006466F1"/>
    <w:rsid w:val="006517DF"/>
    <w:rsid w:val="00652518"/>
    <w:rsid w:val="00662C6C"/>
    <w:rsid w:val="00672E0D"/>
    <w:rsid w:val="00676787"/>
    <w:rsid w:val="00681881"/>
    <w:rsid w:val="00687AEB"/>
    <w:rsid w:val="006A376B"/>
    <w:rsid w:val="006B78D7"/>
    <w:rsid w:val="006D0694"/>
    <w:rsid w:val="006D2DCF"/>
    <w:rsid w:val="006E270F"/>
    <w:rsid w:val="006E5016"/>
    <w:rsid w:val="006F08EB"/>
    <w:rsid w:val="006F5A39"/>
    <w:rsid w:val="0070059B"/>
    <w:rsid w:val="0070572E"/>
    <w:rsid w:val="007073FE"/>
    <w:rsid w:val="007131F9"/>
    <w:rsid w:val="00715FBA"/>
    <w:rsid w:val="00727E62"/>
    <w:rsid w:val="00732C0E"/>
    <w:rsid w:val="00741A16"/>
    <w:rsid w:val="00747F23"/>
    <w:rsid w:val="00763FB3"/>
    <w:rsid w:val="00775150"/>
    <w:rsid w:val="00781414"/>
    <w:rsid w:val="0078189B"/>
    <w:rsid w:val="00786308"/>
    <w:rsid w:val="0079194F"/>
    <w:rsid w:val="007A08B4"/>
    <w:rsid w:val="007A2129"/>
    <w:rsid w:val="007A575D"/>
    <w:rsid w:val="007B495C"/>
    <w:rsid w:val="007B7574"/>
    <w:rsid w:val="007C08DF"/>
    <w:rsid w:val="007C3D43"/>
    <w:rsid w:val="007C5FDE"/>
    <w:rsid w:val="007D2C60"/>
    <w:rsid w:val="007E0B3A"/>
    <w:rsid w:val="007E1D05"/>
    <w:rsid w:val="007E55A3"/>
    <w:rsid w:val="007E5D63"/>
    <w:rsid w:val="007F0F57"/>
    <w:rsid w:val="007F530B"/>
    <w:rsid w:val="007F57A3"/>
    <w:rsid w:val="00805CC2"/>
    <w:rsid w:val="008164F6"/>
    <w:rsid w:val="00820908"/>
    <w:rsid w:val="00821B3A"/>
    <w:rsid w:val="00826D69"/>
    <w:rsid w:val="0083138B"/>
    <w:rsid w:val="00832959"/>
    <w:rsid w:val="00846B0F"/>
    <w:rsid w:val="0085097F"/>
    <w:rsid w:val="0085199F"/>
    <w:rsid w:val="00856913"/>
    <w:rsid w:val="00856B55"/>
    <w:rsid w:val="00861F2F"/>
    <w:rsid w:val="008649B6"/>
    <w:rsid w:val="00864A43"/>
    <w:rsid w:val="00870DAC"/>
    <w:rsid w:val="0087636E"/>
    <w:rsid w:val="008771F6"/>
    <w:rsid w:val="00880891"/>
    <w:rsid w:val="00887A5B"/>
    <w:rsid w:val="00892D47"/>
    <w:rsid w:val="0089412C"/>
    <w:rsid w:val="008A2732"/>
    <w:rsid w:val="008A4A99"/>
    <w:rsid w:val="008A6CF0"/>
    <w:rsid w:val="008B4C98"/>
    <w:rsid w:val="008B584A"/>
    <w:rsid w:val="008D0EC3"/>
    <w:rsid w:val="008D4F99"/>
    <w:rsid w:val="008D6AE6"/>
    <w:rsid w:val="008D79C0"/>
    <w:rsid w:val="008F2B52"/>
    <w:rsid w:val="008F365E"/>
    <w:rsid w:val="008F56B2"/>
    <w:rsid w:val="008F6EE7"/>
    <w:rsid w:val="008F7B04"/>
    <w:rsid w:val="008F7C56"/>
    <w:rsid w:val="009042D3"/>
    <w:rsid w:val="0092334B"/>
    <w:rsid w:val="00930714"/>
    <w:rsid w:val="00940EC9"/>
    <w:rsid w:val="009531D5"/>
    <w:rsid w:val="00953E0C"/>
    <w:rsid w:val="00987744"/>
    <w:rsid w:val="00987BC8"/>
    <w:rsid w:val="009910BF"/>
    <w:rsid w:val="0099146B"/>
    <w:rsid w:val="009A3E99"/>
    <w:rsid w:val="009C4D86"/>
    <w:rsid w:val="009C716B"/>
    <w:rsid w:val="009D08CE"/>
    <w:rsid w:val="009D5A73"/>
    <w:rsid w:val="009E2964"/>
    <w:rsid w:val="009E3494"/>
    <w:rsid w:val="009F36C4"/>
    <w:rsid w:val="00A12A08"/>
    <w:rsid w:val="00A141FB"/>
    <w:rsid w:val="00A15F28"/>
    <w:rsid w:val="00A2494B"/>
    <w:rsid w:val="00A351F5"/>
    <w:rsid w:val="00A45C7D"/>
    <w:rsid w:val="00A506EE"/>
    <w:rsid w:val="00A51E4B"/>
    <w:rsid w:val="00A6159F"/>
    <w:rsid w:val="00A657B6"/>
    <w:rsid w:val="00A6796E"/>
    <w:rsid w:val="00A75EAE"/>
    <w:rsid w:val="00A77C65"/>
    <w:rsid w:val="00A87FCB"/>
    <w:rsid w:val="00AA08EC"/>
    <w:rsid w:val="00AA6E7A"/>
    <w:rsid w:val="00AB02C5"/>
    <w:rsid w:val="00AB274A"/>
    <w:rsid w:val="00AC18A2"/>
    <w:rsid w:val="00AD0EEA"/>
    <w:rsid w:val="00AD6420"/>
    <w:rsid w:val="00AE039C"/>
    <w:rsid w:val="00B01971"/>
    <w:rsid w:val="00B024EA"/>
    <w:rsid w:val="00B03D79"/>
    <w:rsid w:val="00B05D4D"/>
    <w:rsid w:val="00B10A91"/>
    <w:rsid w:val="00B11424"/>
    <w:rsid w:val="00B153A0"/>
    <w:rsid w:val="00B207F0"/>
    <w:rsid w:val="00B22A5E"/>
    <w:rsid w:val="00B33F30"/>
    <w:rsid w:val="00B36B98"/>
    <w:rsid w:val="00B40A12"/>
    <w:rsid w:val="00B41495"/>
    <w:rsid w:val="00B4367F"/>
    <w:rsid w:val="00B438CF"/>
    <w:rsid w:val="00B44C01"/>
    <w:rsid w:val="00B45120"/>
    <w:rsid w:val="00B45F6B"/>
    <w:rsid w:val="00B5482E"/>
    <w:rsid w:val="00B575DD"/>
    <w:rsid w:val="00B604BB"/>
    <w:rsid w:val="00B670CE"/>
    <w:rsid w:val="00B67626"/>
    <w:rsid w:val="00B76F6D"/>
    <w:rsid w:val="00B8094F"/>
    <w:rsid w:val="00B8343E"/>
    <w:rsid w:val="00B842B1"/>
    <w:rsid w:val="00B84A37"/>
    <w:rsid w:val="00B909C0"/>
    <w:rsid w:val="00B9330C"/>
    <w:rsid w:val="00B950C2"/>
    <w:rsid w:val="00B96FDF"/>
    <w:rsid w:val="00BB1787"/>
    <w:rsid w:val="00BC6865"/>
    <w:rsid w:val="00BC728E"/>
    <w:rsid w:val="00BD39CB"/>
    <w:rsid w:val="00C0069E"/>
    <w:rsid w:val="00C01936"/>
    <w:rsid w:val="00C04394"/>
    <w:rsid w:val="00C06040"/>
    <w:rsid w:val="00C10CB6"/>
    <w:rsid w:val="00C16930"/>
    <w:rsid w:val="00C16DF4"/>
    <w:rsid w:val="00C230A2"/>
    <w:rsid w:val="00C2319A"/>
    <w:rsid w:val="00C25243"/>
    <w:rsid w:val="00C26576"/>
    <w:rsid w:val="00C313E3"/>
    <w:rsid w:val="00C37CA9"/>
    <w:rsid w:val="00C52B40"/>
    <w:rsid w:val="00C55253"/>
    <w:rsid w:val="00C56ADF"/>
    <w:rsid w:val="00C73C7D"/>
    <w:rsid w:val="00C76083"/>
    <w:rsid w:val="00C828E8"/>
    <w:rsid w:val="00C841B3"/>
    <w:rsid w:val="00C954A7"/>
    <w:rsid w:val="00C97301"/>
    <w:rsid w:val="00CA6FA1"/>
    <w:rsid w:val="00CB1763"/>
    <w:rsid w:val="00CB2244"/>
    <w:rsid w:val="00CC2700"/>
    <w:rsid w:val="00CC4C6C"/>
    <w:rsid w:val="00CC57A4"/>
    <w:rsid w:val="00CD5A4E"/>
    <w:rsid w:val="00CE15F8"/>
    <w:rsid w:val="00CE37F7"/>
    <w:rsid w:val="00CF1D42"/>
    <w:rsid w:val="00CF6E8F"/>
    <w:rsid w:val="00D05443"/>
    <w:rsid w:val="00D103CE"/>
    <w:rsid w:val="00D2445B"/>
    <w:rsid w:val="00D26A2B"/>
    <w:rsid w:val="00D31D56"/>
    <w:rsid w:val="00D41B35"/>
    <w:rsid w:val="00D50E49"/>
    <w:rsid w:val="00D57034"/>
    <w:rsid w:val="00D57D2B"/>
    <w:rsid w:val="00D60EEC"/>
    <w:rsid w:val="00D62565"/>
    <w:rsid w:val="00D7458F"/>
    <w:rsid w:val="00D7789E"/>
    <w:rsid w:val="00D803E8"/>
    <w:rsid w:val="00D9335B"/>
    <w:rsid w:val="00D96417"/>
    <w:rsid w:val="00DA154F"/>
    <w:rsid w:val="00DA2880"/>
    <w:rsid w:val="00DA2ED6"/>
    <w:rsid w:val="00DA5E51"/>
    <w:rsid w:val="00DB2CF9"/>
    <w:rsid w:val="00DC0B45"/>
    <w:rsid w:val="00DC18E8"/>
    <w:rsid w:val="00DC3B40"/>
    <w:rsid w:val="00DD6798"/>
    <w:rsid w:val="00DD687B"/>
    <w:rsid w:val="00DE022D"/>
    <w:rsid w:val="00DE51A2"/>
    <w:rsid w:val="00DE6E36"/>
    <w:rsid w:val="00DF0104"/>
    <w:rsid w:val="00DF38F6"/>
    <w:rsid w:val="00DF4BEE"/>
    <w:rsid w:val="00E02652"/>
    <w:rsid w:val="00E06FD4"/>
    <w:rsid w:val="00E07734"/>
    <w:rsid w:val="00E21801"/>
    <w:rsid w:val="00E24EEB"/>
    <w:rsid w:val="00E34167"/>
    <w:rsid w:val="00E37F89"/>
    <w:rsid w:val="00E4028F"/>
    <w:rsid w:val="00E41C4E"/>
    <w:rsid w:val="00E43313"/>
    <w:rsid w:val="00E51D4A"/>
    <w:rsid w:val="00E54CF4"/>
    <w:rsid w:val="00E561E8"/>
    <w:rsid w:val="00E56E52"/>
    <w:rsid w:val="00E61C52"/>
    <w:rsid w:val="00E73417"/>
    <w:rsid w:val="00E738F7"/>
    <w:rsid w:val="00E77486"/>
    <w:rsid w:val="00E875CF"/>
    <w:rsid w:val="00E9091B"/>
    <w:rsid w:val="00E92FA8"/>
    <w:rsid w:val="00E9682F"/>
    <w:rsid w:val="00E97D0F"/>
    <w:rsid w:val="00EA0383"/>
    <w:rsid w:val="00EC1B78"/>
    <w:rsid w:val="00ED4FB8"/>
    <w:rsid w:val="00EE4671"/>
    <w:rsid w:val="00EE620B"/>
    <w:rsid w:val="00EE67DA"/>
    <w:rsid w:val="00EF0F1A"/>
    <w:rsid w:val="00EF598C"/>
    <w:rsid w:val="00EF6CE9"/>
    <w:rsid w:val="00F00B02"/>
    <w:rsid w:val="00F13ED0"/>
    <w:rsid w:val="00F1611B"/>
    <w:rsid w:val="00F16BD6"/>
    <w:rsid w:val="00F22AD8"/>
    <w:rsid w:val="00F302C0"/>
    <w:rsid w:val="00F33400"/>
    <w:rsid w:val="00F35595"/>
    <w:rsid w:val="00F52FA3"/>
    <w:rsid w:val="00F54992"/>
    <w:rsid w:val="00F61CA1"/>
    <w:rsid w:val="00F72016"/>
    <w:rsid w:val="00F75359"/>
    <w:rsid w:val="00F770A6"/>
    <w:rsid w:val="00F923B0"/>
    <w:rsid w:val="00F9260B"/>
    <w:rsid w:val="00FA25CB"/>
    <w:rsid w:val="00FA5130"/>
    <w:rsid w:val="00FA68F2"/>
    <w:rsid w:val="00FB43BF"/>
    <w:rsid w:val="00FB66B0"/>
    <w:rsid w:val="00FB7308"/>
    <w:rsid w:val="00FC161B"/>
    <w:rsid w:val="00FC3307"/>
    <w:rsid w:val="00FD2065"/>
    <w:rsid w:val="00FD551F"/>
    <w:rsid w:val="00FE1DBF"/>
    <w:rsid w:val="00FE2A2E"/>
    <w:rsid w:val="00FF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8949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D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5F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F2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4E2C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4E2CA1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4E2CA1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4E2CA1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4E2CA1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4E2CA1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4E2CA1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4E2CA1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4E2CA1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10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0A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A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A9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090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D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5F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F2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4E2C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4E2CA1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4E2CA1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4E2CA1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4E2CA1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4E2CA1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4E2CA1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4E2CA1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4E2CA1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10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0A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A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A9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0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0" Type="http://schemas.microsoft.com/office/2011/relationships/commentsExtended" Target="commentsExtended.xml"/><Relationship Id="rId11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175264-600E-7041-AF90-A8C344CC8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5</Pages>
  <Words>1479</Words>
  <Characters>8432</Characters>
  <Application>Microsoft Macintosh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Schmitz</dc:creator>
  <cp:keywords/>
  <dc:description/>
  <cp:lastModifiedBy>Andrew Wilkens</cp:lastModifiedBy>
  <cp:revision>38</cp:revision>
  <dcterms:created xsi:type="dcterms:W3CDTF">2015-07-28T13:39:00Z</dcterms:created>
  <dcterms:modified xsi:type="dcterms:W3CDTF">2015-07-31T20:34:00Z</dcterms:modified>
</cp:coreProperties>
</file>