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br/>
        <w:t xml:space="preserve">Title: </w:t>
      </w:r>
    </w:p>
    <w:p>
      <w:pPr>
        <w:spacing w:before="0" w:after="20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Spectrophotometric Determination of an Equilibrium Constant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LONG ABSTRACT: </w:t>
        <w:br/>
      </w:r>
      <w:r>
        <w:rPr>
          <w:rFonts w:ascii="Cambria" w:hAnsi="Cambria" w:cs="Cambria" w:eastAsia="Cambria"/>
          <w:color w:val="auto"/>
          <w:spacing w:val="0"/>
          <w:position w:val="0"/>
          <w:sz w:val="24"/>
          <w:shd w:fill="auto" w:val="clear"/>
        </w:rPr>
        <w:t xml:space="preserve">Source: Laboratory of Dr. Michael Evans - Georgia Institute of Technology</w:t>
      </w:r>
    </w:p>
    <w:p>
      <w:pPr>
        <w:spacing w:before="0" w:after="20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4"/>
          <w:shd w:fill="auto" w:val="clear"/>
        </w:rPr>
        <w:t xml:space="preserve">The equilibrium constant,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for a chemical system is the ratio of product concentrations to reactant concentrations at equilibrium, each raised to the power of their respective stoichiometric coefficients. Measurement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involves determination of these concentrations for systems in chemical equilibrium.</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Reaction systems containing a single colored component can be studied spectrophotometrically. The relation between absorbance and concentration for the colored component is measured and used to determine its concentration in the reaction system of interest. Concentrations of the colorless components can be calculated indirectly using the balanced chemical equation and the measured concentration of the colored component.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video, the Beer’s law curve for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is determined empirically and applied to the measurement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for the following reaction:</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4070" w:dyaOrig="276">
          <v:rect xmlns:o="urn:schemas-microsoft-com:office:office" xmlns:v="urn:schemas-microsoft-com:vml" id="rectole0000000000" style="width:203.500000pt;height:13.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Four reaction systems with different initial concentrations of reactants are investigated to illustrate that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remains constant irrespective of initial concentrations.</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Every chemical reaction is associated with an equilibrium constant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which reflects the ratio of product concentrations to reactant concentrations at chemical equilibrium. For the generic reaction </w:t>
      </w:r>
      <w:r>
        <w:rPr>
          <w:rFonts w:ascii="Cambria" w:hAnsi="Cambria" w:cs="Cambria" w:eastAsia="Cambria"/>
          <w:i/>
          <w:color w:val="auto"/>
          <w:spacing w:val="0"/>
          <w:position w:val="0"/>
          <w:sz w:val="24"/>
          <w:shd w:fill="auto" w:val="clear"/>
        </w:rPr>
        <w:t xml:space="preserve">a</w:t>
      </w:r>
      <w:r>
        <w:rPr>
          <w:rFonts w:ascii="Cambria" w:hAnsi="Cambria" w:cs="Cambria" w:eastAsia="Cambria"/>
          <w:color w:val="auto"/>
          <w:spacing w:val="0"/>
          <w:position w:val="0"/>
          <w:sz w:val="24"/>
          <w:shd w:fill="auto" w:val="clear"/>
        </w:rPr>
        <w:t xml:space="preserve"> A + </w:t>
      </w:r>
      <w:r>
        <w:rPr>
          <w:rFonts w:ascii="Cambria" w:hAnsi="Cambria" w:cs="Cambria" w:eastAsia="Cambria"/>
          <w:i/>
          <w:color w:val="auto"/>
          <w:spacing w:val="0"/>
          <w:position w:val="0"/>
          <w:sz w:val="24"/>
          <w:shd w:fill="auto" w:val="clear"/>
        </w:rPr>
        <w:t xml:space="preserve">b</w:t>
      </w:r>
      <w:r>
        <w:rPr>
          <w:rFonts w:ascii="Cambria" w:hAnsi="Cambria" w:cs="Cambria" w:eastAsia="Cambria"/>
          <w:color w:val="auto"/>
          <w:spacing w:val="0"/>
          <w:position w:val="0"/>
          <w:sz w:val="24"/>
          <w:shd w:fill="auto" w:val="clear"/>
        </w:rPr>
        <w:t xml:space="preserve"> B ⇄ </w:t>
      </w:r>
      <w:r>
        <w:rPr>
          <w:rFonts w:ascii="Cambria" w:hAnsi="Cambria" w:cs="Cambria" w:eastAsia="Cambria"/>
          <w:i/>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 C + </w:t>
      </w:r>
      <w:r>
        <w:rPr>
          <w:rFonts w:ascii="Cambria" w:hAnsi="Cambria" w:cs="Cambria" w:eastAsia="Cambria"/>
          <w:i/>
          <w:color w:val="auto"/>
          <w:spacing w:val="0"/>
          <w:position w:val="0"/>
          <w:sz w:val="24"/>
          <w:shd w:fill="auto" w:val="clear"/>
        </w:rPr>
        <w:t xml:space="preserve">d</w:t>
      </w:r>
      <w:r>
        <w:rPr>
          <w:rFonts w:ascii="Cambria" w:hAnsi="Cambria" w:cs="Cambria" w:eastAsia="Cambria"/>
          <w:color w:val="auto"/>
          <w:spacing w:val="0"/>
          <w:position w:val="0"/>
          <w:sz w:val="24"/>
          <w:shd w:fill="auto" w:val="clear"/>
        </w:rPr>
        <w:t xml:space="preserve"> D, the equilibrium constant is defined as</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1351" w:dyaOrig="599">
          <v:rect xmlns:o="urn:schemas-microsoft-com:office:office" xmlns:v="urn:schemas-microsoft-com:vml" id="rectole0000000001" style="width:67.550000pt;height:29.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the concentrations on the right-hand side of the equation are molarities at equilibrium. This equation is known as the equilibrium expression for the reaction. In chemical systems that are not in equilibrium, the forward and reverse reactions occur at different rates until the concentrations of reactants and products satisfy the equilibrium expression.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measure the value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for a system in chemical equilibrium, it is necessary to determine the concentrations of reactants and products either directly or indirectly. Spectrophotometric methods for the determination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involve direct measurement of the concentration of one colored component and indirect measurement of the others. Visible spectroscopy of the colored component at known concentrations reveals the relation between absorbance and concentration for this component. According to Beer’s law, this relation has the form</w:t>
      </w:r>
    </w:p>
    <w:p>
      <w:pPr>
        <w:spacing w:before="0" w:after="200" w:line="240"/>
        <w:ind w:right="0" w:left="0" w:firstLine="0"/>
        <w:jc w:val="center"/>
        <w:rPr>
          <w:rFonts w:ascii="Cambria" w:hAnsi="Cambria" w:cs="Cambria" w:eastAsia="Cambria"/>
          <w:b/>
          <w:color w:val="auto"/>
          <w:spacing w:val="0"/>
          <w:position w:val="0"/>
          <w:sz w:val="24"/>
          <w:shd w:fill="auto" w:val="clear"/>
        </w:rPr>
      </w:pPr>
      <w:r>
        <w:object w:dxaOrig="768" w:dyaOrig="199">
          <v:rect xmlns:o="urn:schemas-microsoft-com:office:office" xmlns:v="urn:schemas-microsoft-com:vml" id="rectole0000000002" style="width:38.400000pt;height:9.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e is the molar absorptivity of the component in L/mol-cm, </w:t>
      </w:r>
      <w:r>
        <w:rPr>
          <w:rFonts w:ascii="Cambria" w:hAnsi="Cambria" w:cs="Cambria" w:eastAsia="Cambria"/>
          <w:i/>
          <w:color w:val="auto"/>
          <w:spacing w:val="0"/>
          <w:position w:val="0"/>
          <w:sz w:val="24"/>
          <w:shd w:fill="auto" w:val="clear"/>
        </w:rPr>
        <w:t xml:space="preserve">l</w:t>
      </w:r>
      <w:r>
        <w:rPr>
          <w:rFonts w:ascii="Cambria" w:hAnsi="Cambria" w:cs="Cambria" w:eastAsia="Cambria"/>
          <w:color w:val="auto"/>
          <w:spacing w:val="0"/>
          <w:position w:val="0"/>
          <w:sz w:val="24"/>
          <w:shd w:fill="auto" w:val="clear"/>
        </w:rPr>
        <w:t xml:space="preserve"> is the path length of light through the sample in cm, </w:t>
      </w:r>
      <w:r>
        <w:rPr>
          <w:rFonts w:ascii="Cambria" w:hAnsi="Cambria" w:cs="Cambria" w:eastAsia="Cambria"/>
          <w:i/>
          <w:color w:val="auto"/>
          <w:spacing w:val="0"/>
          <w:position w:val="0"/>
          <w:sz w:val="24"/>
          <w:shd w:fill="auto" w:val="clear"/>
        </w:rPr>
        <w:t xml:space="preserve">c</w:t>
      </w:r>
      <w:r>
        <w:rPr>
          <w:rFonts w:ascii="Cambria" w:hAnsi="Cambria" w:cs="Cambria" w:eastAsia="Cambria"/>
          <w:color w:val="auto"/>
          <w:spacing w:val="0"/>
          <w:position w:val="0"/>
          <w:sz w:val="24"/>
          <w:shd w:fill="auto" w:val="clear"/>
        </w:rPr>
        <w:t xml:space="preserve"> is the molarity of the component in mol/L, and </w:t>
      </w:r>
      <w:r>
        <w:rPr>
          <w:rFonts w:ascii="Cambria" w:hAnsi="Cambria" w:cs="Cambria" w:eastAsia="Cambria"/>
          <w:i/>
          <w:color w:val="auto"/>
          <w:spacing w:val="0"/>
          <w:position w:val="0"/>
          <w:sz w:val="24"/>
          <w:shd w:fill="auto" w:val="clear"/>
        </w:rPr>
        <w:t xml:space="preserve">A</w:t>
      </w:r>
      <w:r>
        <w:rPr>
          <w:rFonts w:ascii="Cambria" w:hAnsi="Cambria" w:cs="Cambria" w:eastAsia="Cambria"/>
          <w:color w:val="auto"/>
          <w:spacing w:val="0"/>
          <w:position w:val="0"/>
          <w:sz w:val="24"/>
          <w:shd w:fill="auto" w:val="clear"/>
        </w:rPr>
        <w:t xml:space="preserve"> is the absorbance.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Beer’s law curve for the colored component can be applied to a reaction system in equilibrium to determine the concentration of this component from absorbance measurements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Concentrations of the remaining reactants and products can then be calculated by adjusting initial concentrations based on the measured molarity of the colored species.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system studied here is the reaction of iron (III) cation with thiocyanate anion to form an iron (III) thiocyanate complex.</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4070" w:dyaOrig="276">
          <v:rect xmlns:o="urn:schemas-microsoft-com:office:office" xmlns:v="urn:schemas-microsoft-com:vml" id="rectole0000000003" style="width:203.500000pt;height:13.8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equilibrium expression for this reaction system is</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2273" w:dyaOrig="599">
          <v:rect xmlns:o="urn:schemas-microsoft-com:office:office" xmlns:v="urn:schemas-microsoft-com:vml" id="rectole0000000004" style="width:113.650000pt;height:29.9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the </w:t>
      </w:r>
      <w:r>
        <w:rPr>
          <w:rFonts w:ascii="Cambria" w:hAnsi="Cambria" w:cs="Cambria" w:eastAsia="Cambria"/>
          <w:i/>
          <w:color w:val="auto"/>
          <w:spacing w:val="0"/>
          <w:position w:val="0"/>
          <w:sz w:val="24"/>
          <w:shd w:fill="auto" w:val="clear"/>
        </w:rPr>
        <w:t xml:space="preserve">eq</w:t>
      </w:r>
      <w:r>
        <w:rPr>
          <w:rFonts w:ascii="Cambria" w:hAnsi="Cambria" w:cs="Cambria" w:eastAsia="Cambria"/>
          <w:color w:val="auto"/>
          <w:spacing w:val="0"/>
          <w:position w:val="0"/>
          <w:sz w:val="24"/>
          <w:shd w:fill="auto" w:val="clear"/>
        </w:rPr>
        <w:t xml:space="preserve"> subscript denotes equilibrium concentrations. The iron (III) thiocyanate product is orange, but both reactants are colorless in aqueous solution. Hence,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w:t>
      </w:r>
      <w:r>
        <w:rPr>
          <w:rFonts w:ascii="Cambria" w:hAnsi="Cambria" w:cs="Cambria" w:eastAsia="Cambria"/>
          <w:i/>
          <w:color w:val="auto"/>
          <w:spacing w:val="0"/>
          <w:position w:val="0"/>
          <w:sz w:val="24"/>
          <w:shd w:fill="auto" w:val="clear"/>
          <w:vertAlign w:val="subscript"/>
        </w:rPr>
        <w:t xml:space="preserve">eq</w:t>
      </w:r>
      <w:r>
        <w:rPr>
          <w:rFonts w:ascii="Cambria" w:hAnsi="Cambria" w:cs="Cambria" w:eastAsia="Cambria"/>
          <w:color w:val="auto"/>
          <w:spacing w:val="0"/>
          <w:position w:val="0"/>
          <w:sz w:val="24"/>
          <w:shd w:fill="auto" w:val="clear"/>
        </w:rPr>
        <w:t xml:space="preserve"> can be determined directly from absorbance measurements.</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1935" w:dyaOrig="506">
          <v:rect xmlns:o="urn:schemas-microsoft-com:office:office" xmlns:v="urn:schemas-microsoft-com:vml" id="rectole0000000005" style="width:96.750000pt;height:25.3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Equilibrium concentrations of the reactants can be calculated by subtracting the equilibrium concentration of the product from the initial concentrations of the reactants. An Initial-Change-Equilibrium (ICE) table illustrates how initial and equilibrium concentrations are related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4070" w:dyaOrig="276">
          <v:rect xmlns:o="urn:schemas-microsoft-com:office:office" xmlns:v="urn:schemas-microsoft-com:vml" id="rectole0000000006" style="width:203.500000pt;height:13.8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Repeated trials of this experiment involving different initial concentrations of reactants should yield the same value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as the value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is independent of concentration.</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Beer’s law curve for iron (III) thiocyanate.</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An Initial-Change-Equilibrium (ICE) table that illustrates how initial and equilibrium concentrations are related.</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numPr>
          <w:ilvl w:val="0"/>
          <w:numId w:val="16"/>
        </w:numPr>
        <w:spacing w:before="0" w:after="20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Determining the Beer’s Law Curve for Fe(SCN)</w:t>
      </w:r>
      <w:r>
        <w:rPr>
          <w:rFonts w:ascii="Cambria" w:hAnsi="Cambria" w:cs="Cambria" w:eastAsia="Cambria"/>
          <w:color w:val="auto"/>
          <w:spacing w:val="0"/>
          <w:position w:val="0"/>
          <w:sz w:val="24"/>
          <w:shd w:fill="auto" w:val="clear"/>
          <w:vertAlign w:val="superscript"/>
        </w:rPr>
        <w:t xml:space="preserve">2+</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Calibrate a visible spectrophotometer using distilled water as a blank.</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Add 1.0 mL of 1.0 &amp;#215; 10</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M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 to a test tube.</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To the same test tube, add 5.0 mL of 0.50 M KSCN solution.</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To the same test tube, add 4.0 mL of 0.10 M HNO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 Cover the tube with a gloved finger and gently shake to mix.</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Use a Pasteur pipette to transfer a small quantity of the solution to a cuvette. Ensure that the liquid level is above the path of the light beam in the spectrophotometer.</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Place the cuvette in the spectrophotometer, so the light passes through the transparent sides.</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Acquire a spectrum and record the </w:t>
      </w:r>
      <w:r>
        <w:rPr>
          <w:rFonts w:ascii="Cambria" w:hAnsi="Cambria" w:cs="Cambria" w:eastAsia="Cambria"/>
          <w:color w:val="auto"/>
          <w:spacing w:val="0"/>
          <w:position w:val="0"/>
          <w:sz w:val="24"/>
          <w:shd w:fill="auto" w:val="clear"/>
        </w:rPr>
        <w:t xml:space="preserve">λ</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value and the absorbance at λ</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w:t>
        <w:br/>
      </w:r>
    </w:p>
    <w:p>
      <w:pPr>
        <w:numPr>
          <w:ilvl w:val="0"/>
          <w:numId w:val="16"/>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In order to construct a Beer’s law curve, additional solutions with known concentrations of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must be prepared and measured. Repeat steps 1.2 – 1.7 using the volumes of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KSCN, and HNO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solutions in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w:t>
      </w:r>
    </w:p>
    <w:p>
      <w:pPr>
        <w:spacing w:before="0" w:after="200" w:line="240"/>
        <w:ind w:right="0" w:left="792" w:firstLine="0"/>
        <w:jc w:val="left"/>
        <w:rPr>
          <w:rFonts w:ascii="Cambria" w:hAnsi="Cambria" w:cs="Cambria" w:eastAsia="Cambria"/>
          <w:b/>
          <w:color w:val="auto"/>
          <w:spacing w:val="0"/>
          <w:position w:val="0"/>
          <w:sz w:val="28"/>
          <w:shd w:fill="auto" w:val="clear"/>
        </w:rPr>
      </w:pPr>
    </w:p>
    <w:p>
      <w:pPr>
        <w:numPr>
          <w:ilvl w:val="0"/>
          <w:numId w:val="19"/>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Plot the measured absorbance versus the concentrations of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in each test tube and determine the line of best fit for the data. The slope of this line is the molar absorptivity e and the path length is 1 cm.</w:t>
        <w:br/>
      </w:r>
    </w:p>
    <w:p>
      <w:pPr>
        <w:numPr>
          <w:ilvl w:val="0"/>
          <w:numId w:val="19"/>
        </w:numPr>
        <w:spacing w:before="0" w:after="200" w:line="240"/>
        <w:ind w:right="0" w:left="360" w:hanging="36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4"/>
          <w:shd w:fill="auto" w:val="clear"/>
        </w:rPr>
        <w:t xml:space="preserve">Measuring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for the Iron (III) Thiocyanate System</w:t>
        <w:br/>
      </w:r>
    </w:p>
    <w:p>
      <w:pPr>
        <w:numPr>
          <w:ilvl w:val="0"/>
          <w:numId w:val="1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4 medium test tubes containing the indicated volumes of 0.0025 M Fe(NO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0.0025 M KSCN, and 0.10 M HNO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solutions in </w:t>
      </w:r>
      <w:r>
        <w:rPr>
          <w:rFonts w:ascii="Cambria" w:hAnsi="Cambria" w:cs="Cambria" w:eastAsia="Cambria"/>
          <w:b/>
          <w:color w:val="auto"/>
          <w:spacing w:val="0"/>
          <w:position w:val="0"/>
          <w:sz w:val="24"/>
          <w:shd w:fill="auto" w:val="clear"/>
        </w:rPr>
        <w:t xml:space="preserve">Table 3</w:t>
      </w:r>
      <w:r>
        <w:rPr>
          <w:rFonts w:ascii="Cambria" w:hAnsi="Cambria" w:cs="Cambria" w:eastAsia="Cambria"/>
          <w:color w:val="auto"/>
          <w:spacing w:val="0"/>
          <w:position w:val="0"/>
          <w:sz w:val="24"/>
          <w:shd w:fill="auto" w:val="clear"/>
        </w:rPr>
        <w:t xml:space="preserve">.</w:t>
      </w:r>
    </w:p>
    <w:p>
      <w:pPr>
        <w:spacing w:before="0" w:after="200" w:line="240"/>
        <w:ind w:right="0" w:left="792" w:firstLine="0"/>
        <w:jc w:val="left"/>
        <w:rPr>
          <w:rFonts w:ascii="Cambria" w:hAnsi="Cambria" w:cs="Cambria" w:eastAsia="Cambria"/>
          <w:b/>
          <w:color w:val="auto"/>
          <w:spacing w:val="0"/>
          <w:position w:val="0"/>
          <w:sz w:val="28"/>
          <w:shd w:fill="auto" w:val="clear"/>
        </w:rPr>
      </w:pPr>
    </w:p>
    <w:p>
      <w:pPr>
        <w:numPr>
          <w:ilvl w:val="0"/>
          <w:numId w:val="23"/>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Cover each tube with a finger and gently shake to mix. Allow them to stand for at least 10 min. This resting period ensures that the solutions are at chemical equilibrium.</w:t>
        <w:br/>
      </w:r>
    </w:p>
    <w:p>
      <w:pPr>
        <w:numPr>
          <w:ilvl w:val="0"/>
          <w:numId w:val="23"/>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Use a Pasteur pipette to transfer a small quantity of solution 6 to a cuvette. Ensure that the liquid level is above the path of the light beam in the spectrophotometer.</w:t>
        <w:br/>
      </w:r>
    </w:p>
    <w:p>
      <w:pPr>
        <w:numPr>
          <w:ilvl w:val="0"/>
          <w:numId w:val="23"/>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Acquire a spectrum and record the </w:t>
      </w:r>
      <w:r>
        <w:rPr>
          <w:rFonts w:ascii="Cambria" w:hAnsi="Cambria" w:cs="Cambria" w:eastAsia="Cambria"/>
          <w:color w:val="auto"/>
          <w:spacing w:val="0"/>
          <w:position w:val="0"/>
          <w:sz w:val="24"/>
          <w:shd w:fill="auto" w:val="clear"/>
        </w:rPr>
        <w:t xml:space="preserve">λ</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value and the absorbance at λ</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w:t>
        <w:br/>
      </w:r>
    </w:p>
    <w:p>
      <w:pPr>
        <w:numPr>
          <w:ilvl w:val="0"/>
          <w:numId w:val="23"/>
        </w:numPr>
        <w:spacing w:before="0" w:after="200" w:line="240"/>
        <w:ind w:right="0" w:left="792" w:hanging="432"/>
        <w:jc w:val="left"/>
        <w:rPr>
          <w:rFonts w:ascii="Cambria" w:hAnsi="Cambria" w:cs="Cambria" w:eastAsia="Cambria"/>
          <w:b/>
          <w:color w:val="auto"/>
          <w:spacing w:val="0"/>
          <w:position w:val="0"/>
          <w:sz w:val="28"/>
          <w:shd w:fill="auto" w:val="clear"/>
        </w:rPr>
      </w:pPr>
      <w:r>
        <w:rPr>
          <w:rFonts w:ascii="Cambria" w:hAnsi="Cambria" w:cs="Cambria" w:eastAsia="Cambria"/>
          <w:color w:val="auto"/>
          <w:spacing w:val="0"/>
          <w:position w:val="0"/>
          <w:sz w:val="24"/>
          <w:shd w:fill="auto" w:val="clear"/>
        </w:rPr>
        <w:t xml:space="preserve">Multiple reactions with different initial concentrations of reactants can be studied to illustrate that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does not depend on concentration. To determine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for different initial conditions, repeat steps 2.3 and 2.4 for solutions 7 – 9.</w:t>
      </w:r>
    </w:p>
    <w:p>
      <w:pPr>
        <w:spacing w:before="0" w:after="200" w:line="240"/>
        <w:ind w:right="0" w:left="792" w:firstLine="0"/>
        <w:jc w:val="left"/>
        <w:rPr>
          <w:rFonts w:ascii="Cambria" w:hAnsi="Cambria" w:cs="Cambria" w:eastAsia="Cambria"/>
          <w:b/>
          <w:color w:val="auto"/>
          <w:spacing w:val="0"/>
          <w:position w:val="0"/>
          <w:sz w:val="28"/>
          <w:shd w:fill="auto" w:val="clear"/>
        </w:rPr>
      </w:pPr>
    </w:p>
    <w:p>
      <w:pPr>
        <w:spacing w:before="0" w:after="200" w:line="240"/>
        <w:ind w:right="0" w:left="36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2. Appropriate volumes of Fe(NO3)3, KSCN, and HNO3 solutions to be placed in tubes 2 – 5.</w:t>
      </w:r>
    </w:p>
    <w:p>
      <w:pPr>
        <w:spacing w:before="0" w:after="200" w:line="240"/>
        <w:ind w:right="0" w:left="360" w:firstLine="0"/>
        <w:jc w:val="left"/>
        <w:rPr>
          <w:rFonts w:ascii="Cambria" w:hAnsi="Cambria" w:cs="Cambria" w:eastAsia="Cambria"/>
          <w:b/>
          <w:color w:val="auto"/>
          <w:spacing w:val="0"/>
          <w:position w:val="0"/>
          <w:sz w:val="24"/>
          <w:shd w:fill="auto" w:val="clear"/>
        </w:rPr>
      </w:pPr>
    </w:p>
    <w:p>
      <w:pPr>
        <w:spacing w:before="0" w:after="200" w:line="240"/>
        <w:ind w:right="0" w:left="36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3. Appropriate volumes of 0.0025 M Fe(NO3)3, 0.0025 M KSCN, and 0.10 M HNO3 solutions.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24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240" w:after="200" w:line="240"/>
        <w:ind w:right="0" w:left="0" w:firstLine="0"/>
        <w:jc w:val="left"/>
        <w:rPr>
          <w:rFonts w:ascii="Cambria" w:hAnsi="Cambria" w:cs="Cambria" w:eastAsia="Cambria"/>
          <w:b/>
          <w:color w:val="000000"/>
          <w:spacing w:val="0"/>
          <w:position w:val="0"/>
          <w:sz w:val="24"/>
          <w:shd w:fill="auto" w:val="clear"/>
        </w:rPr>
      </w:pPr>
      <w:r>
        <w:rPr>
          <w:rFonts w:ascii="Cambria" w:hAnsi="Cambria" w:cs="Cambria" w:eastAsia="Cambria"/>
          <w:b/>
          <w:color w:val="auto"/>
          <w:spacing w:val="0"/>
          <w:position w:val="0"/>
          <w:sz w:val="28"/>
          <w:shd w:fill="auto" w:val="clear"/>
        </w:rPr>
        <w:br/>
      </w:r>
      <w:r>
        <w:rPr>
          <w:rFonts w:ascii="Cambria" w:hAnsi="Cambria" w:cs="Cambria" w:eastAsia="Cambria"/>
          <w:b/>
          <w:color w:val="auto"/>
          <w:spacing w:val="0"/>
          <w:position w:val="0"/>
          <w:sz w:val="24"/>
          <w:shd w:fill="auto" w:val="clear"/>
        </w:rPr>
        <w:t xml:space="preserve">Table 4</w:t>
      </w:r>
      <w:r>
        <w:rPr>
          <w:rFonts w:ascii="Cambria" w:hAnsi="Cambria" w:cs="Cambria" w:eastAsia="Cambria"/>
          <w:color w:val="auto"/>
          <w:spacing w:val="0"/>
          <w:position w:val="0"/>
          <w:sz w:val="24"/>
          <w:shd w:fill="auto" w:val="clear"/>
        </w:rPr>
        <w:t xml:space="preserve"> lists the absorbance and concentration data for solutions 1 – 5. Concentrations of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were determined from initial concentrations of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under the assumption that all of the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is converted to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A large excess of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was used in tubes 1 – 5 to ensure that this assumption holds true. </w:t>
      </w:r>
    </w:p>
    <w:p>
      <w:pPr>
        <w:spacing w:before="24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molarity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and absorbance are plotted in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The measured absorbances agree well with Beer’s law.</w:t>
      </w:r>
    </w:p>
    <w:p>
      <w:pPr>
        <w:spacing w:before="24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5</w:t>
      </w:r>
      <w:r>
        <w:rPr>
          <w:rFonts w:ascii="Cambria" w:hAnsi="Cambria" w:cs="Cambria" w:eastAsia="Cambria"/>
          <w:color w:val="auto"/>
          <w:spacing w:val="0"/>
          <w:position w:val="0"/>
          <w:sz w:val="24"/>
          <w:shd w:fill="auto" w:val="clear"/>
        </w:rPr>
        <w:t xml:space="preserve"> lists measured absorbances and calculated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values for tubes 6 – 9.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values were determined using the ICE table method. Initial reactant concentrations were based on the known molarities of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and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in the reactant solutions and the total volume of the reaction (10 mL). The equilibrium concentration of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was determined by dividing measured absorbance by the molar absorptivity of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Because all of the product was formed from the 1:1 reaction of Fe</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and SCN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the equilibrium concentration of Fe(SCN)</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corresponds to the </w:t>
      </w:r>
      <w:r>
        <w:rPr>
          <w:rFonts w:ascii="Cambria" w:hAnsi="Cambria" w:cs="Cambria" w:eastAsia="Cambria"/>
          <w:i/>
          <w:color w:val="auto"/>
          <w:spacing w:val="0"/>
          <w:position w:val="0"/>
          <w:sz w:val="24"/>
          <w:shd w:fill="auto" w:val="clear"/>
        </w:rPr>
        <w:t xml:space="preserve">decrease</w:t>
      </w:r>
      <w:r>
        <w:rPr>
          <w:rFonts w:ascii="Cambria" w:hAnsi="Cambria" w:cs="Cambria" w:eastAsia="Cambria"/>
          <w:color w:val="auto"/>
          <w:spacing w:val="0"/>
          <w:position w:val="0"/>
          <w:sz w:val="24"/>
          <w:shd w:fill="auto" w:val="clear"/>
        </w:rPr>
        <w:t xml:space="preserve"> in concentration of the reactants. </w:t>
      </w:r>
      <w:r>
        <w:rPr>
          <w:rFonts w:ascii="Cambria" w:hAnsi="Cambria" w:cs="Cambria" w:eastAsia="Cambria"/>
          <w:b/>
          <w:color w:val="auto"/>
          <w:spacing w:val="0"/>
          <w:position w:val="0"/>
          <w:sz w:val="24"/>
          <w:shd w:fill="auto" w:val="clear"/>
        </w:rPr>
        <w:t xml:space="preserve">Table 6</w:t>
      </w:r>
      <w:r>
        <w:rPr>
          <w:rFonts w:ascii="Cambria" w:hAnsi="Cambria" w:cs="Cambria" w:eastAsia="Cambria"/>
          <w:color w:val="auto"/>
          <w:spacing w:val="0"/>
          <w:position w:val="0"/>
          <w:sz w:val="24"/>
          <w:shd w:fill="auto" w:val="clear"/>
        </w:rPr>
        <w:t xml:space="preserve"> shows the process for test tube 6.</w:t>
      </w:r>
    </w:p>
    <w:p>
      <w:pPr>
        <w:spacing w:before="24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equilibrium constant is calculated from the concentrations in the equilibrium row. For test tube 6,</w:t>
      </w:r>
    </w:p>
    <w:p>
      <w:pPr>
        <w:spacing w:before="240" w:after="200" w:line="240"/>
        <w:ind w:right="0" w:left="0" w:firstLine="0"/>
        <w:jc w:val="center"/>
        <w:rPr>
          <w:rFonts w:ascii="Cambria" w:hAnsi="Cambria" w:cs="Cambria" w:eastAsia="Cambria"/>
          <w:color w:val="auto"/>
          <w:spacing w:val="0"/>
          <w:position w:val="0"/>
          <w:sz w:val="24"/>
          <w:shd w:fill="auto" w:val="clear"/>
        </w:rPr>
      </w:pPr>
      <w:r>
        <w:object w:dxaOrig="2745" w:dyaOrig="595">
          <v:rect xmlns:o="urn:schemas-microsoft-com:office:office" xmlns:v="urn:schemas-microsoft-com:vml" id="rectole0000000007" style="width:137.250000pt;height:29.7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24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mean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value was 147 &amp;plusmn; 11, illustrating that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is roughly constant over the range of concentrations studied.</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Line graph of Absorbance versus Concentration for Fe(SCN)</w:t>
      </w:r>
      <w:r>
        <w:rPr>
          <w:rFonts w:ascii="Cambria" w:hAnsi="Cambria" w:cs="Cambria" w:eastAsia="Cambria"/>
          <w:b/>
          <w:color w:val="auto"/>
          <w:spacing w:val="0"/>
          <w:position w:val="0"/>
          <w:sz w:val="24"/>
          <w:shd w:fill="auto" w:val="clear"/>
          <w:vertAlign w:val="superscript"/>
        </w:rPr>
        <w:t xml:space="preserve">2+</w:t>
      </w:r>
      <w:r>
        <w:rPr>
          <w:rFonts w:ascii="Cambria" w:hAnsi="Cambria" w:cs="Cambria" w:eastAsia="Cambria"/>
          <w:b/>
          <w:color w:val="auto"/>
          <w:spacing w:val="0"/>
          <w:position w:val="0"/>
          <w:sz w:val="24"/>
          <w:shd w:fill="auto" w:val="clear"/>
        </w:rPr>
        <w:t xml:space="preserve">.</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4. Absorbance versus Concentration Data for Fe(SCN)</w:t>
      </w:r>
      <w:r>
        <w:rPr>
          <w:rFonts w:ascii="Cambria" w:hAnsi="Cambria" w:cs="Cambria" w:eastAsia="Cambria"/>
          <w:b/>
          <w:color w:val="auto"/>
          <w:spacing w:val="0"/>
          <w:position w:val="0"/>
          <w:sz w:val="24"/>
          <w:shd w:fill="auto" w:val="clear"/>
          <w:vertAlign w:val="superscript"/>
        </w:rPr>
        <w:t xml:space="preserve">2+</w:t>
      </w:r>
      <w:r>
        <w:rPr>
          <w:rFonts w:ascii="Cambria" w:hAnsi="Cambria" w:cs="Cambria" w:eastAsia="Cambria"/>
          <w:b/>
          <w:color w:val="auto"/>
          <w:spacing w:val="0"/>
          <w:position w:val="0"/>
          <w:sz w:val="24"/>
          <w:shd w:fill="auto" w:val="clear"/>
        </w:rPr>
        <w:t xml:space="preserve">.</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5. Measured absorbance values and calculated K for the reaction of iron (III) with thiocyanate.</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6. The ICE table that illustrates the process used for test tube 6.</w:t>
      </w:r>
    </w:p>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br/>
      </w:r>
      <w:r>
        <w:rPr>
          <w:rFonts w:ascii="Cambria" w:hAnsi="Cambria" w:cs="Cambria" w:eastAsia="Cambria"/>
          <w:color w:val="auto"/>
          <w:spacing w:val="0"/>
          <w:position w:val="0"/>
          <w:sz w:val="24"/>
          <w:shd w:fill="auto" w:val="clear"/>
        </w:rPr>
        <w:t xml:space="preserve">The equilibrium constant provides useful information about the extent to which a reaction will proceed to form products over time. Reactions with a large value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much larger than 1, will form products nearly complete given enough time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Reactions with a value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less than 1 will not proceed forward to a significant degree. The equilibrium constant thus serves as a measure of the feasibility of a chemical reaction.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equilibrium constant also provides useful thermodynamic information about the changes in free energy, enthalpy, and entropy in the course of a chemical reaction. The equilibrium constant is related to the free energy change of reaction:</w:t>
      </w:r>
    </w:p>
    <w:p>
      <w:pPr>
        <w:spacing w:before="0" w:after="200" w:line="240"/>
        <w:ind w:right="0" w:left="0" w:firstLine="0"/>
        <w:jc w:val="center"/>
        <w:rPr>
          <w:rFonts w:ascii="Cambria" w:hAnsi="Cambria" w:cs="Cambria" w:eastAsia="Cambria"/>
          <w:b/>
          <w:color w:val="auto"/>
          <w:spacing w:val="0"/>
          <w:position w:val="0"/>
          <w:sz w:val="28"/>
          <w:shd w:fill="auto" w:val="clear"/>
        </w:rPr>
      </w:pPr>
      <w:r>
        <w:object w:dxaOrig="1689" w:dyaOrig="199">
          <v:rect xmlns:o="urn:schemas-microsoft-com:office:office" xmlns:v="urn:schemas-microsoft-com:vml" id="rectole0000000008" style="width:84.450000pt;height:9.9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free energy change of reaction is in turn related to the enthalpy and entropy changes of reaction:</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1889" w:dyaOrig="199">
          <v:rect xmlns:o="urn:schemas-microsoft-com:office:office" xmlns:v="urn:schemas-microsoft-com:vml" id="rectole0000000009" style="width:94.450000pt;height:9.9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Measurements of the temperature dependence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can reveal the enthalpy change D</w:t>
      </w:r>
      <w:r>
        <w:rPr>
          <w:rFonts w:ascii="Cambria" w:hAnsi="Cambria" w:cs="Cambria" w:eastAsia="Cambria"/>
          <w:i/>
          <w:color w:val="auto"/>
          <w:spacing w:val="0"/>
          <w:position w:val="0"/>
          <w:sz w:val="24"/>
          <w:shd w:fill="auto" w:val="clear"/>
        </w:rPr>
        <w:t xml:space="preserve">H</w:t>
      </w:r>
      <w:r>
        <w:rPr>
          <w:rFonts w:ascii="Cambria" w:hAnsi="Cambria" w:cs="Cambria" w:eastAsia="Cambria"/>
          <w:color w:val="auto"/>
          <w:spacing w:val="0"/>
          <w:position w:val="0"/>
          <w:sz w:val="24"/>
          <w:shd w:fill="auto" w:val="clear"/>
        </w:rPr>
        <w:t xml:space="preserve"> and the entropy change D</w:t>
      </w:r>
      <w:r>
        <w:rPr>
          <w:rFonts w:ascii="Cambria" w:hAnsi="Cambria" w:cs="Cambria" w:eastAsia="Cambria"/>
          <w:i/>
          <w:color w:val="auto"/>
          <w:spacing w:val="0"/>
          <w:position w:val="0"/>
          <w:sz w:val="24"/>
          <w:shd w:fill="auto" w:val="clear"/>
        </w:rPr>
        <w:t xml:space="preserve">S</w:t>
      </w:r>
      <w:r>
        <w:rPr>
          <w:rFonts w:ascii="Cambria" w:hAnsi="Cambria" w:cs="Cambria" w:eastAsia="Cambria"/>
          <w:color w:val="auto"/>
          <w:spacing w:val="0"/>
          <w:position w:val="0"/>
          <w:sz w:val="24"/>
          <w:shd w:fill="auto" w:val="clear"/>
        </w:rPr>
        <w:t xml:space="preserve"> for a reaction. In addition to providing chemists with insight into patterns in molecular behavior, tables of thermodynamic data can be used to identify reactions with favorable thermodynamic properties. For example, redox reactions that release large amounts of energy (associated with negative D</w:t>
      </w:r>
      <w:r>
        <w:rPr>
          <w:rFonts w:ascii="Cambria" w:hAnsi="Cambria" w:cs="Cambria" w:eastAsia="Cambria"/>
          <w:i/>
          <w:color w:val="auto"/>
          <w:spacing w:val="0"/>
          <w:position w:val="0"/>
          <w:sz w:val="24"/>
          <w:shd w:fill="auto" w:val="clear"/>
        </w:rPr>
        <w:t xml:space="preserve">G</w:t>
      </w:r>
      <w:r>
        <w:rPr>
          <w:rFonts w:ascii="Cambria" w:hAnsi="Cambria" w:cs="Cambria" w:eastAsia="Cambria"/>
          <w:color w:val="auto"/>
          <w:spacing w:val="0"/>
          <w:position w:val="0"/>
          <w:sz w:val="24"/>
          <w:shd w:fill="auto" w:val="clear"/>
        </w:rPr>
        <w:t xml:space="preserve"> values) are attractive candidates for batteries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Values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for acid dissociation reactions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values) are useful for predicting the outcomes of acid-base reactions, which are thermodynamically controlled. Strong acids are associated with large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values and weak acids with small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values. pH indicators are weak acids with differently colored acidic and basic forms, and the p</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(the negative base-10 logarithm of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of an indicator represents the pH at which a color change occurs as an acid or base is added to a solution of the indicator.</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Similarly, </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values are used in the preparation of buffer solutions to achieve a target pH value. The p</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of a weak acid represents the pH at which the acid and its conjugate base are present in the solution in equal concentrations. When equal amounts of a weak acid and its conjugate base are dissolved in a solution, the pH of the solution equals the p</w:t>
      </w:r>
      <w:r>
        <w:rPr>
          <w:rFonts w:ascii="Cambria" w:hAnsi="Cambria" w:cs="Cambria" w:eastAsia="Cambria"/>
          <w:i/>
          <w:color w:val="auto"/>
          <w:spacing w:val="0"/>
          <w:position w:val="0"/>
          <w:sz w:val="24"/>
          <w:shd w:fill="auto" w:val="clear"/>
        </w:rPr>
        <w:t xml:space="preserve">K</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of the weak acid.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The equilibrium constant of this reaction is greater than 1.</w:t>
      </w:r>
      <w:r>
        <w:rPr>
          <w:rFonts w:ascii="Cambria" w:hAnsi="Cambria" w:cs="Cambria" w:eastAsia="Cambria"/>
          <w:color w:val="auto"/>
          <w:spacing w:val="0"/>
          <w:position w:val="0"/>
          <w:sz w:val="24"/>
          <w:shd w:fill="auto" w:val="clear"/>
        </w:rPr>
        <w:t xml:space="preserve"> A significant amount of colored product forms in each case, even though the initial concentrations of reactants differ.</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 The redox reaction of copper (II) cations in aqueous solution with aluminum metal is a strongly exergonic reaction with a large value of K.</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16">
    <w:abstractNumId w:val="12"/>
  </w:num>
  <w:num w:numId="19">
    <w:abstractNumId w:val="6"/>
  </w:num>
  <w:num w:numId="2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8.wmf" Id="docRId17" Type="http://schemas.openxmlformats.org/officeDocument/2006/relationships/image"/><Relationship Target="media/image3.wmf" Id="docRId7" Type="http://schemas.openxmlformats.org/officeDocument/2006/relationships/image"/><Relationship Target="embeddings/oleObject7.bin" Id="docRId14"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7.wmf" Id="docRId15" Type="http://schemas.openxmlformats.org/officeDocument/2006/relationships/image"/><Relationship Target="media/image9.wmf" Id="docRId19"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embeddings/oleObject8.bin" Id="docRId16" Type="http://schemas.openxmlformats.org/officeDocument/2006/relationships/oleObject"/><Relationship Target="styles.xml" Id="docRId21" Type="http://schemas.openxmlformats.org/officeDocument/2006/relationships/styles"/><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numbering.xml" Id="docRId20" Type="http://schemas.openxmlformats.org/officeDocument/2006/relationships/numbering"/><Relationship Target="media/image1.wmf" Id="docRId3" Type="http://schemas.openxmlformats.org/officeDocument/2006/relationships/image"/><Relationship Target="embeddings/oleObject5.bin" Id="docRId10" Type="http://schemas.openxmlformats.org/officeDocument/2006/relationships/oleObject"/><Relationship Target="embeddings/oleObject9.bin" Id="docRId18" Type="http://schemas.openxmlformats.org/officeDocument/2006/relationships/oleObject"/><Relationship Target="embeddings/oleObject1.bin" Id="docRId2" Type="http://schemas.openxmlformats.org/officeDocument/2006/relationships/oleObject"/></Relationships>
</file>