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Arial" w:hAnsi="Arial" w:cs="Arial" w:eastAsia="Arial"/>
          <w:b/>
          <w:color w:val="000000"/>
          <w:spacing w:val="0"/>
          <w:position w:val="0"/>
          <w:sz w:val="20"/>
          <w:shd w:fill="auto" w:val="clear"/>
        </w:rPr>
      </w:pPr>
      <w:r>
        <w:rPr>
          <w:rFonts w:ascii="Calibri" w:hAnsi="Calibri" w:cs="Calibri" w:eastAsia="Calibri"/>
          <w:b/>
          <w:color w:val="auto"/>
          <w:spacing w:val="0"/>
          <w:position w:val="0"/>
          <w:sz w:val="24"/>
          <w:shd w:fill="auto" w:val="clear"/>
        </w:rPr>
        <w:t xml:space="preserve">TITLE: </w:t>
      </w:r>
    </w:p>
    <w:p>
      <w:pPr>
        <w:spacing w:before="0" w:after="200" w:line="240"/>
        <w:ind w:right="0" w:left="0" w:firstLine="0"/>
        <w:jc w:val="left"/>
        <w:rPr>
          <w:rFonts w:ascii="Arial" w:hAnsi="Arial" w:cs="Arial" w:eastAsia="Arial"/>
          <w:b/>
          <w:color w:val="000000"/>
          <w:spacing w:val="0"/>
          <w:position w:val="0"/>
          <w:sz w:val="20"/>
          <w:shd w:fill="auto" w:val="clear"/>
        </w:rPr>
      </w:pPr>
      <w:r>
        <w:rPr>
          <w:rFonts w:ascii="Arial" w:hAnsi="Arial" w:cs="Arial" w:eastAsia="Arial"/>
          <w:b/>
          <w:color w:val="000000"/>
          <w:spacing w:val="0"/>
          <w:position w:val="0"/>
          <w:sz w:val="20"/>
          <w:shd w:fill="auto" w:val="clear"/>
        </w:rPr>
        <w:t xml:space="preserve">Cranial Nerves Exam I (I-VI)</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200" w:line="240"/>
        <w:ind w:right="0" w:left="0" w:firstLine="0"/>
        <w:jc w:val="left"/>
        <w:rPr>
          <w:rFonts w:ascii="Arial" w:hAnsi="Arial" w:cs="Arial" w:eastAsia="Arial"/>
          <w:b/>
          <w:color w:val="000000"/>
          <w:spacing w:val="0"/>
          <w:position w:val="0"/>
          <w:sz w:val="20"/>
          <w:shd w:fill="auto" w:val="clear"/>
        </w:rPr>
      </w:pPr>
      <w:r>
        <w:rPr>
          <w:rFonts w:ascii="Arial" w:hAnsi="Arial" w:cs="Arial" w:eastAsia="Arial"/>
          <w:color w:val="auto"/>
          <w:spacing w:val="0"/>
          <w:position w:val="0"/>
          <w:sz w:val="20"/>
          <w:shd w:fill="auto" w:val="clear"/>
        </w:rPr>
        <w:t xml:space="preserve">Source:</w:t>
      </w:r>
      <w:r>
        <w:rPr>
          <w:rFonts w:ascii="Arial" w:hAnsi="Arial" w:cs="Arial" w:eastAsia="Arial"/>
          <w:b/>
          <w:color w:val="auto"/>
          <w:spacing w:val="0"/>
          <w:position w:val="0"/>
          <w:sz w:val="20"/>
          <w:shd w:fill="auto" w:val="clear"/>
        </w:rPr>
        <w:t xml:space="preserve"> </w:t>
      </w:r>
      <w:r>
        <w:rPr>
          <w:rFonts w:ascii="Arial" w:hAnsi="Arial" w:cs="Arial" w:eastAsia="Arial"/>
          <w:color w:val="auto"/>
          <w:spacing w:val="0"/>
          <w:position w:val="0"/>
          <w:sz w:val="20"/>
          <w:shd w:fill="auto" w:val="clear"/>
        </w:rPr>
        <w:t xml:space="preserve">Tracey A. Milligan, MD; Tamara B. Kaplan, MD; Neurology, Brigham and Women's/Massachusetts General Hospital, Boston, Massachusetts, USA</w:t>
      </w:r>
    </w:p>
    <w:p>
      <w:pPr>
        <w:spacing w:before="0" w:after="20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During each section of the neurological testing the examiner uses the powers of observation to assess the patient. In some cases cranial nerve dysfunction is readily apparent: a patient might mention a characteristic chief complaint (such as loss of smell or diplopia), or a visually evident physical sign of cranial nerve involvement, such as in facial nerve palsy. However, in many cases a patient’s history doesn’t directly suggest cranial nerve pathologies, as some of them (such as sixth nerve palsy) may have subtle manifestations and can only be uncovered by a careful neurological exam. Importantly, a variety of pathological conditions that are associated with alterations in mental status (such as some neurodegenerative disorders or brain lesions) can also cause cranial nerve dysfunction, therefore any abnormal findings during a mental status exam should prompt a careful and complete neurological exam.</w:t>
      </w:r>
    </w:p>
    <w:p>
      <w:pPr>
        <w:spacing w:before="0" w:after="20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The cranial nerve examination is applied neuroanatomy. The cranial nerves are symmetrical, therefore while performing the examination each side should be compared to the other. A physician should approach the examination in a systematic fashion and go through the cranial nerves in their numerical order.</w:t>
      </w:r>
    </w:p>
    <w:tbl>
      <w:tblPr>
        <w:tblInd w:w="108" w:type="dxa"/>
      </w:tblPr>
      <w:tblGrid>
        <w:gridCol w:w="540"/>
        <w:gridCol w:w="1980"/>
        <w:gridCol w:w="6300"/>
      </w:tblGrid>
      <w:tr>
        <w:trPr>
          <w:trHeight w:val="141" w:hRule="auto"/>
          <w:jc w:val="left"/>
        </w:trPr>
        <w:tc>
          <w:tcPr>
            <w:tcW w:w="5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I</w:t>
            </w:r>
          </w:p>
        </w:tc>
        <w:tc>
          <w:tcPr>
            <w:tcW w:w="19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Olfactory</w:t>
            </w:r>
          </w:p>
        </w:tc>
        <w:tc>
          <w:tcPr>
            <w:tcW w:w="63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Smell</w:t>
            </w:r>
          </w:p>
        </w:tc>
      </w:tr>
      <w:tr>
        <w:trPr>
          <w:trHeight w:val="1" w:hRule="atLeast"/>
          <w:jc w:val="left"/>
        </w:trPr>
        <w:tc>
          <w:tcPr>
            <w:tcW w:w="5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II </w:t>
            </w:r>
          </w:p>
        </w:tc>
        <w:tc>
          <w:tcPr>
            <w:tcW w:w="19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Optic</w:t>
            </w:r>
          </w:p>
        </w:tc>
        <w:tc>
          <w:tcPr>
            <w:tcW w:w="63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Visual acuity, afferent pupillary response</w:t>
            </w:r>
          </w:p>
        </w:tc>
      </w:tr>
      <w:tr>
        <w:trPr>
          <w:trHeight w:val="1" w:hRule="atLeast"/>
          <w:jc w:val="left"/>
        </w:trPr>
        <w:tc>
          <w:tcPr>
            <w:tcW w:w="5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III</w:t>
            </w:r>
          </w:p>
        </w:tc>
        <w:tc>
          <w:tcPr>
            <w:tcW w:w="19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Oculomotor</w:t>
            </w:r>
          </w:p>
        </w:tc>
        <w:tc>
          <w:tcPr>
            <w:tcW w:w="63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Horizontal eye movements (adduction), efferent pupillary response</w:t>
            </w:r>
          </w:p>
        </w:tc>
      </w:tr>
      <w:tr>
        <w:trPr>
          <w:trHeight w:val="1" w:hRule="atLeast"/>
          <w:jc w:val="left"/>
        </w:trPr>
        <w:tc>
          <w:tcPr>
            <w:tcW w:w="5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IV  </w:t>
            </w:r>
          </w:p>
        </w:tc>
        <w:tc>
          <w:tcPr>
            <w:tcW w:w="19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Trochlear</w:t>
            </w:r>
          </w:p>
        </w:tc>
        <w:tc>
          <w:tcPr>
            <w:tcW w:w="63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Downward vertical eye movement, internal rotation of eye</w:t>
            </w:r>
          </w:p>
        </w:tc>
      </w:tr>
      <w:tr>
        <w:trPr>
          <w:trHeight w:val="294" w:hRule="auto"/>
          <w:jc w:val="left"/>
        </w:trPr>
        <w:tc>
          <w:tcPr>
            <w:tcW w:w="5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V   </w:t>
            </w:r>
          </w:p>
        </w:tc>
        <w:tc>
          <w:tcPr>
            <w:tcW w:w="19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Trigeminal    </w:t>
            </w:r>
          </w:p>
        </w:tc>
        <w:tc>
          <w:tcPr>
            <w:tcW w:w="63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Facial sensation, jaw movement</w:t>
            </w:r>
          </w:p>
        </w:tc>
      </w:tr>
      <w:tr>
        <w:trPr>
          <w:trHeight w:val="1" w:hRule="atLeast"/>
          <w:jc w:val="left"/>
        </w:trPr>
        <w:tc>
          <w:tcPr>
            <w:tcW w:w="5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VI  </w:t>
            </w:r>
          </w:p>
        </w:tc>
        <w:tc>
          <w:tcPr>
            <w:tcW w:w="19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Abducens</w:t>
            </w:r>
          </w:p>
        </w:tc>
        <w:tc>
          <w:tcPr>
            <w:tcW w:w="63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Horizontal eye movement (abduction)</w:t>
            </w:r>
          </w:p>
        </w:tc>
      </w:tr>
      <w:tr>
        <w:trPr>
          <w:trHeight w:val="1" w:hRule="atLeast"/>
          <w:jc w:val="left"/>
        </w:trPr>
        <w:tc>
          <w:tcPr>
            <w:tcW w:w="5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VII </w:t>
            </w:r>
          </w:p>
        </w:tc>
        <w:tc>
          <w:tcPr>
            <w:tcW w:w="19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Facial</w:t>
            </w:r>
          </w:p>
        </w:tc>
        <w:tc>
          <w:tcPr>
            <w:tcW w:w="63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Facial movement and strength, taste, dampening of loud sounds, sensation; anterior wall of external ear canal</w:t>
            </w:r>
          </w:p>
        </w:tc>
      </w:tr>
      <w:tr>
        <w:trPr>
          <w:trHeight w:val="1" w:hRule="atLeast"/>
          <w:jc w:val="left"/>
        </w:trPr>
        <w:tc>
          <w:tcPr>
            <w:tcW w:w="5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VIII</w:t>
            </w:r>
          </w:p>
        </w:tc>
        <w:tc>
          <w:tcPr>
            <w:tcW w:w="19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Acoustic </w:t>
            </w:r>
          </w:p>
        </w:tc>
        <w:tc>
          <w:tcPr>
            <w:tcW w:w="63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Hearing, vestibular functioning</w:t>
            </w:r>
          </w:p>
        </w:tc>
      </w:tr>
      <w:tr>
        <w:trPr>
          <w:trHeight w:val="1" w:hRule="atLeast"/>
          <w:jc w:val="left"/>
        </w:trPr>
        <w:tc>
          <w:tcPr>
            <w:tcW w:w="5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IX</w:t>
            </w:r>
          </w:p>
        </w:tc>
        <w:tc>
          <w:tcPr>
            <w:tcW w:w="19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Glossopharyngeal</w:t>
            </w:r>
          </w:p>
        </w:tc>
        <w:tc>
          <w:tcPr>
            <w:tcW w:w="63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Movement of pharynx, sensation of pharynx, posterior tongue (including taste of posterior tongue), and most of ear canal </w:t>
            </w:r>
          </w:p>
        </w:tc>
      </w:tr>
      <w:tr>
        <w:trPr>
          <w:trHeight w:val="240" w:hRule="auto"/>
          <w:jc w:val="left"/>
        </w:trPr>
        <w:tc>
          <w:tcPr>
            <w:tcW w:w="5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X</w:t>
            </w:r>
          </w:p>
        </w:tc>
        <w:tc>
          <w:tcPr>
            <w:tcW w:w="19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Vagal</w:t>
            </w:r>
          </w:p>
        </w:tc>
        <w:tc>
          <w:tcPr>
            <w:tcW w:w="63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Movement and sensation of palate, pharynx, gag reflex, guttural sounds </w:t>
            </w:r>
          </w:p>
        </w:tc>
      </w:tr>
      <w:tr>
        <w:trPr>
          <w:trHeight w:val="1" w:hRule="atLeast"/>
          <w:jc w:val="left"/>
        </w:trPr>
        <w:tc>
          <w:tcPr>
            <w:tcW w:w="5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XI</w:t>
            </w:r>
          </w:p>
        </w:tc>
        <w:tc>
          <w:tcPr>
            <w:tcW w:w="19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Spinal accessory</w:t>
            </w:r>
          </w:p>
        </w:tc>
        <w:tc>
          <w:tcPr>
            <w:tcW w:w="63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Strength of sternocleidomastoids and trapezius muscles </w:t>
            </w:r>
          </w:p>
        </w:tc>
      </w:tr>
      <w:tr>
        <w:trPr>
          <w:trHeight w:val="1" w:hRule="atLeast"/>
          <w:jc w:val="left"/>
        </w:trPr>
        <w:tc>
          <w:tcPr>
            <w:tcW w:w="5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XII </w:t>
            </w:r>
          </w:p>
        </w:tc>
        <w:tc>
          <w:tcPr>
            <w:tcW w:w="19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Hypoglossal</w:t>
            </w:r>
          </w:p>
        </w:tc>
        <w:tc>
          <w:tcPr>
            <w:tcW w:w="63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Tongue protrusion and lateral movements</w:t>
            </w:r>
          </w:p>
        </w:tc>
      </w:tr>
    </w:tbl>
    <w:p>
      <w:pPr>
        <w:spacing w:before="0" w:after="0" w:line="240"/>
        <w:ind w:right="0" w:left="0" w:firstLine="0"/>
        <w:jc w:val="left"/>
        <w:rPr>
          <w:rFonts w:ascii="Arial" w:hAnsi="Arial" w:cs="Arial" w:eastAsia="Arial"/>
          <w:color w:val="auto"/>
          <w:spacing w:val="0"/>
          <w:position w:val="0"/>
          <w:sz w:val="20"/>
          <w:shd w:fill="auto" w:val="clear"/>
        </w:rPr>
      </w:pPr>
    </w:p>
    <w:p>
      <w:pPr>
        <w:spacing w:before="0" w:after="20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Table 1. The 12 Cranial Nerves and Their Basic Functions</w:t>
      </w:r>
    </w:p>
    <w:p>
      <w:pPr>
        <w:spacing w:before="0" w:after="200" w:line="276"/>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Cranial nerve I (the Olfactory nerve) is a purely sensory nerve that conveys the sense of smell, is not routinely tested during most examinations. Cranial nerve II, the Optic nerve, is the only cranial nerve that can be directly visualized as it exits from the central nervous system. Its axons convey visual information and comprise the afferent limb of the pupillary reflex. Testing of the pupillary responses also assesses the function of cranial nerve III, the Oculomotor nerve, parasympathetic fibers of which form the efferent limb of the pupillary reflex. Cranial nerve exam includes assessment of the extraocular movements, which are controlled by cranial nerves III, IV and VI. Cranial nerve III innervates the superior, medial, and inferior rectus muscles, as well as the inferior oblique muscle, which together function to move eyes medially and in the vertical plane. Cranial nerve IV, the Trochlear nerve, innervates the superior oblique muscles, which moves the eye downward and outward. Cranial nerve VI, the Abducens nerve, innervates the lateral rectus muscles, which abducts the eyes. The function of the medial and lateral rectus muscles is straightforward: Lateral rectus is involved in Abduction meaning lateral movement along the horizontal plane. Medial rectus adducts moving the eye medially movement along the horizontal plane. The remaining muscles each causes movement in more than one direction and some combination of elevation/depression, abduction/adduction, intorsion/extorsion. </w:t>
      </w:r>
    </w:p>
    <w:tbl>
      <w:tblPr>
        <w:tblInd w:w="108" w:type="dxa"/>
      </w:tblPr>
      <w:tblGrid>
        <w:gridCol w:w="1800"/>
        <w:gridCol w:w="2186"/>
        <w:gridCol w:w="1308"/>
        <w:gridCol w:w="1308"/>
        <w:gridCol w:w="1768"/>
      </w:tblGrid>
      <w:tr>
        <w:trPr>
          <w:trHeight w:val="1" w:hRule="atLeast"/>
          <w:jc w:val="left"/>
        </w:trPr>
        <w:tc>
          <w:tcPr>
            <w:tcW w:w="18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b/>
                <w:color w:val="000000"/>
                <w:spacing w:val="0"/>
                <w:position w:val="0"/>
                <w:sz w:val="20"/>
                <w:shd w:fill="auto" w:val="clear"/>
              </w:rPr>
              <w:t xml:space="preserve">Muscle</w:t>
            </w:r>
            <w:r>
              <w:rPr>
                <w:rFonts w:ascii="Arial" w:hAnsi="Arial" w:cs="Arial" w:eastAsia="Arial"/>
                <w:color w:val="000000"/>
                <w:spacing w:val="0"/>
                <w:position w:val="0"/>
                <w:sz w:val="20"/>
                <w:shd w:fill="auto" w:val="clear"/>
              </w:rPr>
              <w:t xml:space="preserve"> </w:t>
            </w:r>
          </w:p>
        </w:tc>
        <w:tc>
          <w:tcPr>
            <w:tcW w:w="21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b/>
                <w:color w:val="000000"/>
                <w:spacing w:val="0"/>
                <w:position w:val="0"/>
                <w:sz w:val="20"/>
                <w:shd w:fill="auto" w:val="clear"/>
              </w:rPr>
              <w:t xml:space="preserve">Innervation</w:t>
            </w:r>
            <w:r>
              <w:rPr>
                <w:rFonts w:ascii="Arial" w:hAnsi="Arial" w:cs="Arial" w:eastAsia="Arial"/>
                <w:color w:val="000000"/>
                <w:spacing w:val="0"/>
                <w:position w:val="0"/>
                <w:sz w:val="20"/>
                <w:shd w:fill="auto" w:val="clear"/>
              </w:rPr>
              <w:t xml:space="preserve"> </w:t>
            </w:r>
          </w:p>
        </w:tc>
        <w:tc>
          <w:tcPr>
            <w:tcW w:w="13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b/>
                <w:color w:val="000000"/>
                <w:spacing w:val="0"/>
                <w:position w:val="0"/>
                <w:sz w:val="20"/>
                <w:shd w:fill="auto" w:val="clear"/>
              </w:rPr>
              <w:t xml:space="preserve">Primary action</w:t>
            </w:r>
            <w:r>
              <w:rPr>
                <w:rFonts w:ascii="Arial" w:hAnsi="Arial" w:cs="Arial" w:eastAsia="Arial"/>
                <w:color w:val="000000"/>
                <w:spacing w:val="0"/>
                <w:position w:val="0"/>
                <w:sz w:val="20"/>
                <w:shd w:fill="auto" w:val="clear"/>
              </w:rPr>
              <w:t xml:space="preserve"> </w:t>
            </w:r>
          </w:p>
        </w:tc>
        <w:tc>
          <w:tcPr>
            <w:tcW w:w="13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b/>
                <w:color w:val="000000"/>
                <w:spacing w:val="0"/>
                <w:position w:val="0"/>
                <w:sz w:val="20"/>
                <w:shd w:fill="auto" w:val="clear"/>
              </w:rPr>
              <w:t xml:space="preserve">Secondary action</w:t>
            </w:r>
            <w:r>
              <w:rPr>
                <w:rFonts w:ascii="Arial" w:hAnsi="Arial" w:cs="Arial" w:eastAsia="Arial"/>
                <w:color w:val="000000"/>
                <w:spacing w:val="0"/>
                <w:position w:val="0"/>
                <w:sz w:val="20"/>
                <w:shd w:fill="auto" w:val="clear"/>
              </w:rPr>
              <w:t xml:space="preserve"> </w:t>
            </w:r>
          </w:p>
        </w:tc>
        <w:tc>
          <w:tcPr>
            <w:tcW w:w="176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b/>
                <w:color w:val="000000"/>
                <w:spacing w:val="0"/>
                <w:position w:val="0"/>
                <w:sz w:val="20"/>
                <w:shd w:fill="auto" w:val="clear"/>
              </w:rPr>
              <w:t xml:space="preserve">Tertiary action</w:t>
            </w:r>
            <w:r>
              <w:rPr>
                <w:rFonts w:ascii="Arial" w:hAnsi="Arial" w:cs="Arial" w:eastAsia="Arial"/>
                <w:color w:val="000000"/>
                <w:spacing w:val="0"/>
                <w:position w:val="0"/>
                <w:sz w:val="20"/>
                <w:shd w:fill="auto" w:val="clear"/>
              </w:rPr>
              <w:t xml:space="preserve"> </w:t>
            </w:r>
          </w:p>
        </w:tc>
      </w:tr>
      <w:tr>
        <w:trPr>
          <w:trHeight w:val="1" w:hRule="atLeast"/>
          <w:jc w:val="left"/>
        </w:trPr>
        <w:tc>
          <w:tcPr>
            <w:tcW w:w="18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Medial rectus </w:t>
            </w:r>
          </w:p>
        </w:tc>
        <w:tc>
          <w:tcPr>
            <w:tcW w:w="21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CN III </w:t>
            </w:r>
          </w:p>
        </w:tc>
        <w:tc>
          <w:tcPr>
            <w:tcW w:w="13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Adduction </w:t>
            </w:r>
          </w:p>
        </w:tc>
        <w:tc>
          <w:tcPr>
            <w:tcW w:w="13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 </w:t>
            </w:r>
          </w:p>
        </w:tc>
        <w:tc>
          <w:tcPr>
            <w:tcW w:w="176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 </w:t>
            </w:r>
          </w:p>
        </w:tc>
      </w:tr>
      <w:tr>
        <w:trPr>
          <w:trHeight w:val="1" w:hRule="atLeast"/>
          <w:jc w:val="left"/>
        </w:trPr>
        <w:tc>
          <w:tcPr>
            <w:tcW w:w="18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Superior rectus </w:t>
            </w:r>
          </w:p>
        </w:tc>
        <w:tc>
          <w:tcPr>
            <w:tcW w:w="21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CN III </w:t>
            </w:r>
          </w:p>
        </w:tc>
        <w:tc>
          <w:tcPr>
            <w:tcW w:w="13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Elevation </w:t>
            </w:r>
          </w:p>
        </w:tc>
        <w:tc>
          <w:tcPr>
            <w:tcW w:w="13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Intortion </w:t>
            </w:r>
          </w:p>
        </w:tc>
        <w:tc>
          <w:tcPr>
            <w:tcW w:w="176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Adduction </w:t>
            </w:r>
          </w:p>
        </w:tc>
      </w:tr>
      <w:tr>
        <w:trPr>
          <w:trHeight w:val="1" w:hRule="atLeast"/>
          <w:jc w:val="left"/>
        </w:trPr>
        <w:tc>
          <w:tcPr>
            <w:tcW w:w="18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Inferior rectus </w:t>
            </w:r>
          </w:p>
        </w:tc>
        <w:tc>
          <w:tcPr>
            <w:tcW w:w="21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CN III </w:t>
            </w:r>
          </w:p>
        </w:tc>
        <w:tc>
          <w:tcPr>
            <w:tcW w:w="13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Depression </w:t>
            </w:r>
          </w:p>
        </w:tc>
        <w:tc>
          <w:tcPr>
            <w:tcW w:w="13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Extortion </w:t>
            </w:r>
          </w:p>
        </w:tc>
        <w:tc>
          <w:tcPr>
            <w:tcW w:w="176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Adduction </w:t>
            </w:r>
          </w:p>
        </w:tc>
      </w:tr>
      <w:tr>
        <w:trPr>
          <w:trHeight w:val="1" w:hRule="atLeast"/>
          <w:jc w:val="left"/>
        </w:trPr>
        <w:tc>
          <w:tcPr>
            <w:tcW w:w="18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Inferior oblique </w:t>
            </w:r>
          </w:p>
        </w:tc>
        <w:tc>
          <w:tcPr>
            <w:tcW w:w="21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CN III </w:t>
            </w:r>
          </w:p>
        </w:tc>
        <w:tc>
          <w:tcPr>
            <w:tcW w:w="13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Extorsion </w:t>
            </w:r>
          </w:p>
        </w:tc>
        <w:tc>
          <w:tcPr>
            <w:tcW w:w="13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Elevation </w:t>
            </w:r>
          </w:p>
        </w:tc>
        <w:tc>
          <w:tcPr>
            <w:tcW w:w="176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Abduction </w:t>
            </w:r>
          </w:p>
        </w:tc>
      </w:tr>
      <w:tr>
        <w:trPr>
          <w:trHeight w:val="1" w:hRule="atLeast"/>
          <w:jc w:val="left"/>
        </w:trPr>
        <w:tc>
          <w:tcPr>
            <w:tcW w:w="18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Superior oblique </w:t>
            </w:r>
          </w:p>
        </w:tc>
        <w:tc>
          <w:tcPr>
            <w:tcW w:w="21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CN IV </w:t>
            </w:r>
          </w:p>
        </w:tc>
        <w:tc>
          <w:tcPr>
            <w:tcW w:w="13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Intorsion </w:t>
            </w:r>
          </w:p>
        </w:tc>
        <w:tc>
          <w:tcPr>
            <w:tcW w:w="13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Depression </w:t>
            </w:r>
          </w:p>
        </w:tc>
        <w:tc>
          <w:tcPr>
            <w:tcW w:w="176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Abduction </w:t>
            </w:r>
          </w:p>
        </w:tc>
      </w:tr>
      <w:tr>
        <w:trPr>
          <w:trHeight w:val="1" w:hRule="atLeast"/>
          <w:jc w:val="left"/>
        </w:trPr>
        <w:tc>
          <w:tcPr>
            <w:tcW w:w="18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Lateral rectus </w:t>
            </w:r>
          </w:p>
        </w:tc>
        <w:tc>
          <w:tcPr>
            <w:tcW w:w="21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CN VI </w:t>
            </w:r>
          </w:p>
        </w:tc>
        <w:tc>
          <w:tcPr>
            <w:tcW w:w="13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Abduction </w:t>
            </w:r>
          </w:p>
        </w:tc>
        <w:tc>
          <w:tcPr>
            <w:tcW w:w="13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 </w:t>
            </w:r>
          </w:p>
        </w:tc>
        <w:tc>
          <w:tcPr>
            <w:tcW w:w="176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 </w:t>
            </w:r>
          </w:p>
        </w:tc>
      </w:tr>
    </w:tbl>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b/>
          <w:color w:val="000000"/>
          <w:spacing w:val="0"/>
          <w:position w:val="0"/>
          <w:sz w:val="20"/>
          <w:shd w:fill="auto" w:val="clear"/>
        </w:rPr>
      </w:pPr>
      <w:r>
        <w:rPr>
          <w:rFonts w:ascii="Arial" w:hAnsi="Arial" w:cs="Arial" w:eastAsia="Arial"/>
          <w:b/>
          <w:color w:val="auto"/>
          <w:spacing w:val="0"/>
          <w:position w:val="0"/>
          <w:sz w:val="20"/>
          <w:shd w:fill="auto" w:val="clear"/>
        </w:rPr>
        <w:t xml:space="preserve">Table 2.</w:t>
      </w:r>
      <w:r>
        <w:rPr>
          <w:rFonts w:ascii="Arial" w:hAnsi="Arial" w:cs="Arial" w:eastAsia="Arial"/>
          <w:b/>
          <w:color w:val="000000"/>
          <w:spacing w:val="0"/>
          <w:position w:val="0"/>
          <w:sz w:val="20"/>
          <w:shd w:fill="auto" w:val="clear"/>
        </w:rPr>
        <w:t xml:space="preserve"> The function of the six extraocular muscles.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200" w:line="276"/>
        <w:ind w:right="0" w:left="0" w:firstLine="0"/>
        <w:jc w:val="left"/>
        <w:rPr>
          <w:rFonts w:ascii="Arial" w:hAnsi="Arial" w:cs="Arial" w:eastAsia="Arial"/>
          <w:b/>
          <w:color w:val="000000"/>
          <w:spacing w:val="0"/>
          <w:position w:val="0"/>
          <w:sz w:val="20"/>
          <w:shd w:fill="auto" w:val="clear"/>
        </w:rPr>
      </w:pPr>
      <w:r>
        <w:rPr>
          <w:rFonts w:ascii="Arial" w:hAnsi="Arial" w:cs="Arial" w:eastAsia="Arial"/>
          <w:color w:val="auto"/>
          <w:spacing w:val="0"/>
          <w:position w:val="0"/>
          <w:sz w:val="20"/>
          <w:shd w:fill="auto" w:val="clear"/>
        </w:rPr>
        <w:t xml:space="preserve">This first part of the cranial nerve exam concludes by testing the Cranial nerve V - the Trigeminal nerve. This nerve has both motor and sensory components. It controls facial sensation, masticatory movements and forms the afferent limb of the corneal reflex. There are 3 major sensory branches of the trigeminal nerve - the Ophthalmic, Maxillary, and Mandibular (also labeled V1, V2, V3 respectively).</w:t>
      </w:r>
    </w:p>
    <w:p>
      <w:pPr>
        <w:tabs>
          <w:tab w:val="left" w:pos="2805"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strike w:val="true"/>
          <w:color w:val="auto"/>
          <w:spacing w:val="0"/>
          <w:position w:val="0"/>
          <w:sz w:val="24"/>
          <w:shd w:fill="auto" w:val="clear"/>
        </w:rPr>
      </w:pPr>
      <w:r>
        <w:rPr>
          <w:rFonts w:ascii="Calibri" w:hAnsi="Calibri" w:cs="Calibri" w:eastAsia="Calibri"/>
          <w:b/>
          <w:strike w:val="true"/>
          <w:color w:val="auto"/>
          <w:spacing w:val="0"/>
          <w:position w:val="0"/>
          <w:sz w:val="24"/>
          <w:shd w:fill="auto" w:val="clear"/>
        </w:rPr>
        <w:t xml:space="preserve">PRINCIPLES: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Arial" w:hAnsi="Arial" w:cs="Arial" w:eastAsia="Arial"/>
          <w:color w:val="000000"/>
          <w:spacing w:val="0"/>
          <w:position w:val="0"/>
          <w:sz w:val="20"/>
          <w:shd w:fill="auto" w:val="clear"/>
        </w:rPr>
      </w:pPr>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1. Cranial nerve I (Olfactory nerve) </w:t>
      </w:r>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The olfactory nerve exam is performed on patients acknowledging a decreased sense of smell, especially after an acceleration/deceleration head injury, as the olfactory nerves are prone to such shearing injuries.</w:t>
      </w:r>
    </w:p>
    <w:p>
      <w:pPr>
        <w:spacing w:before="0" w:after="0" w:line="240"/>
        <w:ind w:right="0" w:left="0" w:firstLine="0"/>
        <w:jc w:val="left"/>
        <w:rPr>
          <w:rFonts w:ascii="Arial" w:hAnsi="Arial" w:cs="Arial" w:eastAsia="Arial"/>
          <w:color w:val="000000"/>
          <w:spacing w:val="0"/>
          <w:position w:val="0"/>
          <w:sz w:val="20"/>
          <w:shd w:fill="auto" w:val="clear"/>
        </w:rPr>
      </w:pPr>
    </w:p>
    <w:p>
      <w:pPr>
        <w:spacing w:before="0" w:after="0" w:line="240"/>
        <w:ind w:right="0" w:left="360" w:hanging="36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1.1</w:t>
        <w:tab/>
        <w:t xml:space="preserve">Have the patient close her eyes and occlude one nostril with her index finger.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360" w:hanging="360"/>
        <w:jc w:val="left"/>
        <w:rPr>
          <w:rFonts w:ascii="Arial" w:hAnsi="Arial" w:cs="Arial" w:eastAsia="Arial"/>
          <w:color w:val="000000"/>
          <w:spacing w:val="0"/>
          <w:position w:val="0"/>
          <w:sz w:val="20"/>
          <w:shd w:fill="auto" w:val="clear"/>
        </w:rPr>
      </w:pPr>
      <w:r>
        <w:rPr>
          <w:rFonts w:ascii="Calibri" w:hAnsi="Calibri" w:cs="Calibri" w:eastAsia="Calibri"/>
          <w:color w:val="000000"/>
          <w:spacing w:val="0"/>
          <w:position w:val="0"/>
          <w:sz w:val="20"/>
          <w:shd w:fill="auto" w:val="clear"/>
        </w:rPr>
        <w:t xml:space="preserve">1.2</w:t>
        <w:tab/>
      </w:r>
      <w:r>
        <w:rPr>
          <w:rFonts w:ascii="Arial" w:hAnsi="Arial" w:cs="Arial" w:eastAsia="Arial"/>
          <w:color w:val="000000"/>
          <w:spacing w:val="0"/>
          <w:position w:val="0"/>
          <w:sz w:val="20"/>
          <w:shd w:fill="auto" w:val="clear"/>
        </w:rPr>
        <w:t xml:space="preserve">Present the patient with a recognizable smell such as coffee granules, peppermint, cinnamon, or commercially available sniff cards.  Have the patient try to identify the smell.</w:t>
      </w:r>
    </w:p>
    <w:p>
      <w:pPr>
        <w:spacing w:before="0" w:after="0" w:line="240"/>
        <w:ind w:right="0" w:left="360" w:firstLine="0"/>
        <w:jc w:val="left"/>
        <w:rPr>
          <w:rFonts w:ascii="Arial" w:hAnsi="Arial" w:cs="Arial" w:eastAsia="Arial"/>
          <w:color w:val="auto"/>
          <w:spacing w:val="0"/>
          <w:position w:val="0"/>
          <w:sz w:val="20"/>
          <w:shd w:fill="auto" w:val="clear"/>
        </w:rPr>
      </w:pPr>
    </w:p>
    <w:p>
      <w:pPr>
        <w:spacing w:before="0" w:after="0" w:line="240"/>
        <w:ind w:right="0" w:left="360" w:hanging="360"/>
        <w:jc w:val="left"/>
        <w:rPr>
          <w:rFonts w:ascii="Arial" w:hAnsi="Arial" w:cs="Arial" w:eastAsia="Arial"/>
          <w:color w:val="auto"/>
          <w:spacing w:val="0"/>
          <w:position w:val="0"/>
          <w:sz w:val="20"/>
          <w:shd w:fill="auto" w:val="clear"/>
        </w:rPr>
      </w:pPr>
      <w:r>
        <w:rPr>
          <w:rFonts w:ascii="Calibri" w:hAnsi="Calibri" w:cs="Calibri" w:eastAsia="Calibri"/>
          <w:color w:val="000000"/>
          <w:spacing w:val="0"/>
          <w:position w:val="0"/>
          <w:sz w:val="20"/>
          <w:shd w:fill="auto" w:val="clear"/>
        </w:rPr>
        <w:t xml:space="preserve">1.3</w:t>
        <w:tab/>
      </w:r>
      <w:r>
        <w:rPr>
          <w:rFonts w:ascii="Arial" w:hAnsi="Arial" w:cs="Arial" w:eastAsia="Arial"/>
          <w:color w:val="000000"/>
          <w:spacing w:val="0"/>
          <w:position w:val="0"/>
          <w:sz w:val="20"/>
          <w:shd w:fill="auto" w:val="clear"/>
        </w:rPr>
        <w:t xml:space="preserve">Repeat the procedure for the other nostril.</w:t>
      </w:r>
    </w:p>
    <w:p>
      <w:pPr>
        <w:spacing w:before="0" w:after="0" w:line="240"/>
        <w:ind w:right="0" w:left="36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auto"/>
          <w:spacing w:val="0"/>
          <w:position w:val="0"/>
          <w:sz w:val="20"/>
          <w:shd w:fill="auto" w:val="clear"/>
        </w:rPr>
        <w:t xml:space="preserve">2. </w:t>
      </w:r>
      <w:r>
        <w:rPr>
          <w:rFonts w:ascii="Arial" w:hAnsi="Arial" w:cs="Arial" w:eastAsia="Arial"/>
          <w:color w:val="000000"/>
          <w:spacing w:val="0"/>
          <w:position w:val="0"/>
          <w:sz w:val="20"/>
          <w:shd w:fill="auto" w:val="clear"/>
        </w:rPr>
        <w:t xml:space="preserve">Cranial nerve II (Optic nerve). </w:t>
      </w:r>
    </w:p>
    <w:p>
      <w:pPr>
        <w:spacing w:before="0" w:after="0" w:line="240"/>
        <w:ind w:right="0" w:left="0" w:firstLine="0"/>
        <w:jc w:val="left"/>
        <w:rPr>
          <w:rFonts w:ascii="Arial" w:hAnsi="Arial" w:cs="Arial" w:eastAsia="Arial"/>
          <w:color w:val="000000"/>
          <w:spacing w:val="0"/>
          <w:position w:val="0"/>
          <w:sz w:val="20"/>
          <w:shd w:fill="auto" w:val="clear"/>
        </w:rPr>
      </w:pPr>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The assessment of the optic nerve assessment includes fundoscopy, visual acuity testing, visual field examination, testing for pupillary responses.</w:t>
      </w:r>
    </w:p>
    <w:p>
      <w:pPr>
        <w:spacing w:before="0" w:after="0" w:line="240"/>
        <w:ind w:right="0" w:left="0" w:firstLine="0"/>
        <w:jc w:val="left"/>
        <w:rPr>
          <w:rFonts w:ascii="Arial" w:hAnsi="Arial" w:cs="Arial" w:eastAsia="Arial"/>
          <w:color w:val="000000"/>
          <w:spacing w:val="0"/>
          <w:position w:val="0"/>
          <w:sz w:val="20"/>
          <w:shd w:fill="auto" w:val="clear"/>
        </w:rPr>
      </w:pPr>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2.1 Directly examine the fundus using an ophthalmoscope.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2.1.1 Have the patient fixate gaze across the room at a slightly upward angle.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000000"/>
          <w:spacing w:val="0"/>
          <w:position w:val="0"/>
          <w:sz w:val="20"/>
          <w:shd w:fill="auto" w:val="clear"/>
        </w:rPr>
        <w:t xml:space="preserve">2.1.2 Use your left eye to examine the patient’s left eye and your right eye to visualize the patient’s right fundus.</w:t>
      </w:r>
    </w:p>
    <w:p>
      <w:pPr>
        <w:spacing w:before="0" w:after="0" w:line="240"/>
        <w:ind w:right="0" w:left="0" w:firstLine="0"/>
        <w:jc w:val="left"/>
        <w:rPr>
          <w:rFonts w:ascii="Arial" w:hAnsi="Arial" w:cs="Arial" w:eastAsia="Arial"/>
          <w:color w:val="000000"/>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000000"/>
          <w:spacing w:val="0"/>
          <w:position w:val="0"/>
          <w:sz w:val="20"/>
          <w:shd w:fill="auto" w:val="clear"/>
        </w:rPr>
        <w:t xml:space="preserve">2.1.3 Look for signs of optic nerve injury, such as optic nerve pallor, or increased intracranial pressure with blurring of the optic disc and the loss of spontaneous venous pulsations. If venous pulsations are not observed (which can be normal in many patients), inform the patient that you are going to press lightly on their orbit, while looking for venous collapse on the optic nerve head. Papilledema is a late sign of increased intracranial pressure. Note the color of the optic nerve, which is normally a yellowish color.  </w:t>
      </w:r>
    </w:p>
    <w:p>
      <w:pPr>
        <w:spacing w:before="0" w:after="0" w:line="240"/>
        <w:ind w:right="0" w:left="0" w:firstLine="0"/>
        <w:jc w:val="left"/>
        <w:rPr>
          <w:rFonts w:ascii="Arial" w:hAnsi="Arial" w:cs="Arial" w:eastAsia="Arial"/>
          <w:color w:val="000000"/>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000000"/>
          <w:spacing w:val="0"/>
          <w:position w:val="0"/>
          <w:sz w:val="20"/>
          <w:shd w:fill="auto" w:val="clear"/>
        </w:rPr>
        <w:t xml:space="preserve">2.2 Check visual fields by direct confrontation. </w:t>
      </w:r>
    </w:p>
    <w:p>
      <w:pPr>
        <w:spacing w:before="150" w:after="15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000000"/>
          <w:spacing w:val="0"/>
          <w:position w:val="0"/>
          <w:sz w:val="20"/>
          <w:shd w:fill="auto" w:val="clear"/>
        </w:rPr>
        <w:t xml:space="preserve">2.2.1 Test one eye at a time and test the four quadrants of the visual field of each eye.</w:t>
      </w:r>
      <w:r>
        <w:rPr>
          <w:rFonts w:ascii="Arial" w:hAnsi="Arial" w:cs="Arial" w:eastAsia="Arial"/>
          <w:color w:val="auto"/>
          <w:spacing w:val="0"/>
          <w:position w:val="0"/>
          <w:sz w:val="20"/>
          <w:shd w:fill="auto" w:val="clear"/>
        </w:rPr>
        <w:t xml:space="preserve"> </w:t>
      </w:r>
    </w:p>
    <w:p>
      <w:pPr>
        <w:spacing w:before="150" w:after="15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Stand facing the patient about 3 feet away and stretch your arms forward and to the sides so that your hands are just barely visible in your peripheral vision. Your fingers should be equidistant between the patient’s eyes and your own. </w:t>
      </w:r>
    </w:p>
    <w:p>
      <w:pPr>
        <w:spacing w:before="150" w:after="15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2.2.2 Quickly wiggle your index finger on either the left or right in both the superior and inferior visual field quadrants, and ask the patient to identify where the movement occurs while looking directly at your nose. For the patient’s left eye use your right eye as a control. Then test analogous portions of the visual field on the other side. </w:t>
      </w:r>
    </w:p>
    <w:p>
      <w:pPr>
        <w:spacing w:before="150" w:after="15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2.2.3 Next, check for loss of double simultaneous stimulation by having patient say if they see one or both fingers wiggling. Then present to the patient moving stimuli in multiple visual fields simultaneously, such as moving fingers in both upper temporal fields or bilateral inferior fields. Field cuts that respect the vertical meridian are usually due to cortical lesions such as stroke.  Field cuts that respect the horizontal meridian are usually related to ocular lesions such as ischemic optic neuropathy.</w:t>
      </w:r>
    </w:p>
    <w:p>
      <w:pPr>
        <w:spacing w:before="150" w:after="15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2.2.4 Alternative ways to test visual fields.</w:t>
      </w:r>
    </w:p>
    <w:p>
      <w:pPr>
        <w:spacing w:before="150" w:after="15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2.2.4.1 Ask the patient to tell you when they first see your finger as you slowly move it in from the periphery inwards for lower and upper quadrants of vision. </w:t>
      </w:r>
    </w:p>
    <w:p>
      <w:pPr>
        <w:spacing w:before="150" w:after="15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2.2.4.2  Ask the patient to count the number of fingers you hold up at various spots in the field.</w:t>
      </w:r>
    </w:p>
    <w:p>
      <w:pPr>
        <w:spacing w:before="150" w:after="15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auto"/>
          <w:spacing w:val="0"/>
          <w:position w:val="0"/>
          <w:sz w:val="20"/>
          <w:shd w:fill="auto" w:val="clear"/>
        </w:rPr>
        <w:t xml:space="preserve">2.2.4.2 Ask the patient if any part of your face is missing or appears distorted.</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000000"/>
          <w:spacing w:val="0"/>
          <w:position w:val="0"/>
          <w:sz w:val="20"/>
          <w:shd w:fill="auto" w:val="clear"/>
        </w:rPr>
        <w:t xml:space="preserve">2.3 Check visual acuity with a hand-held card.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000000"/>
          <w:spacing w:val="0"/>
          <w:position w:val="0"/>
          <w:sz w:val="20"/>
          <w:shd w:fill="auto" w:val="clear"/>
        </w:rPr>
        <w:t xml:space="preserve">2.3.1 Have the patient alternately cover each eye and read the smallest line they can see with the card held about 14 inches away.  If the patient wears corrective lenses, they should be used while checking acuity.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000000"/>
          <w:spacing w:val="0"/>
          <w:position w:val="0"/>
          <w:sz w:val="20"/>
          <w:shd w:fill="auto" w:val="clear"/>
        </w:rPr>
        <w:t xml:space="preserve">2.3.2 Record the smallest line read correctly.</w:t>
        <w:br/>
      </w:r>
    </w:p>
    <w:p>
      <w:pPr>
        <w:spacing w:before="0" w:after="0" w:line="240"/>
        <w:ind w:right="0" w:left="0" w:firstLine="0"/>
        <w:jc w:val="left"/>
        <w:rPr>
          <w:rFonts w:ascii="Arial" w:hAnsi="Arial" w:cs="Arial" w:eastAsia="Arial"/>
          <w:color w:val="000000"/>
          <w:spacing w:val="0"/>
          <w:position w:val="0"/>
          <w:sz w:val="20"/>
          <w:shd w:fill="FFFF00" w:val="clear"/>
        </w:rPr>
      </w:pPr>
      <w:r>
        <w:rPr>
          <w:rFonts w:ascii="Arial" w:hAnsi="Arial" w:cs="Arial" w:eastAsia="Arial"/>
          <w:color w:val="000000"/>
          <w:spacing w:val="0"/>
          <w:position w:val="0"/>
          <w:sz w:val="20"/>
          <w:shd w:fill="auto" w:val="clear"/>
        </w:rPr>
        <w:t xml:space="preserve">2.3.3 Repeat process for other eye.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200" w:line="276"/>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3. Cranial nerves II and III.</w:t>
      </w:r>
    </w:p>
    <w:p>
      <w:pPr>
        <w:spacing w:before="0" w:after="20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000000"/>
          <w:spacing w:val="0"/>
          <w:position w:val="0"/>
          <w:sz w:val="20"/>
          <w:shd w:fill="auto" w:val="clear"/>
        </w:rPr>
        <w:t xml:space="preserve">Pupillary light reflex </w:t>
      </w:r>
      <w:r>
        <w:rPr>
          <w:rFonts w:ascii="Arial" w:hAnsi="Arial" w:cs="Arial" w:eastAsia="Arial"/>
          <w:color w:val="auto"/>
          <w:spacing w:val="0"/>
          <w:position w:val="0"/>
          <w:sz w:val="20"/>
          <w:shd w:fill="auto" w:val="clear"/>
        </w:rPr>
        <w:t xml:space="preserve">controls the diameter of the pupil in response to the light intensity. Both cranial nerves II and III are being tested when the pupillary response is checked, as the optic nerve carries the afferent fibers of the reflex, and the efferent limb is supplied by the oculomotor nerve (III). </w:t>
      </w:r>
    </w:p>
    <w:p>
      <w:pPr>
        <w:spacing w:before="0" w:after="20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3.1 Check pupillary response, directly and consensually. </w:t>
      </w:r>
    </w:p>
    <w:p>
      <w:pPr>
        <w:spacing w:before="0" w:after="20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3.1.1 Reduce the room illumination as much as possible. </w:t>
      </w:r>
    </w:p>
    <w:p>
      <w:pPr>
        <w:spacing w:before="0" w:after="20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3.1.2 Shine a penlight in the direction of the patient's nose so that you can see both pupils without directing light at either of them and check that they are the same size. About 10% of normal patients will have a slight pupil asymmetry of &amp;lt; 1mm (aniscoria).</w:t>
      </w:r>
    </w:p>
    <w:p>
      <w:pPr>
        <w:spacing w:before="0" w:after="20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3.1.3 Ask the patient to look across the room and shine bright light into each pupil.</w:t>
      </w:r>
    </w:p>
    <w:p>
      <w:pPr>
        <w:spacing w:before="0" w:after="20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000000"/>
          <w:spacing w:val="0"/>
          <w:position w:val="0"/>
          <w:sz w:val="20"/>
          <w:shd w:fill="auto" w:val="clear"/>
        </w:rPr>
        <w:t xml:space="preserve">3.1.4 Look for brisk constriction of the pupil as you shine the light into the eye (direct response), and the corresponding constriction in the contralateral eye (consensual response). </w:t>
      </w:r>
    </w:p>
    <w:p>
      <w:pPr>
        <w:spacing w:before="0" w:after="20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000000"/>
          <w:spacing w:val="0"/>
          <w:position w:val="0"/>
          <w:sz w:val="20"/>
          <w:shd w:fill="auto" w:val="clear"/>
        </w:rPr>
        <w:t xml:space="preserve">3.2 The swinging-flashlight test is done to look for an afferent pupillary defect, also known as a Marcus-Gunn pupil.</w:t>
      </w:r>
      <w:r>
        <w:rPr>
          <w:rFonts w:ascii="Arial" w:hAnsi="Arial" w:cs="Arial" w:eastAsia="Arial"/>
          <w:color w:val="auto"/>
          <w:spacing w:val="0"/>
          <w:position w:val="0"/>
          <w:sz w:val="20"/>
          <w:shd w:fill="auto" w:val="clear"/>
        </w:rPr>
        <w:t xml:space="preserve"> </w:t>
      </w:r>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auto"/>
          <w:spacing w:val="0"/>
          <w:position w:val="0"/>
          <w:sz w:val="20"/>
          <w:shd w:fill="auto" w:val="clear"/>
        </w:rPr>
        <w:t xml:space="preserve">3.2.1 To perform the test, move the flashlight between the eyes every two to three seconds.</w:t>
      </w:r>
      <w:r>
        <w:rPr>
          <w:rFonts w:ascii="Arial" w:hAnsi="Arial" w:cs="Arial" w:eastAsia="Arial"/>
          <w:color w:val="000000"/>
          <w:spacing w:val="0"/>
          <w:position w:val="0"/>
          <w:sz w:val="20"/>
          <w:shd w:fill="auto" w:val="clear"/>
        </w:rPr>
        <w:t xml:space="preserve"> If there is no afferent or efferent abnormality, there is no change in the pupil size with the swinging light test.</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If the patient has a disorder such as optic neuritis as may be seen in multiple sclerosis, the affected eye may have a decreased response to direct illumination from a bright light. However, the efferent pathways are intact, therefore the pupil of the diseased eye will initially briskly contract when the unaffected eye is exposed to bright light (as the consensual response is preserved). When the affected eye is then directly exposed to the bright light, the diseased optic nerve does not mount as strong a response as the consensual response had been, and the pupil paradoxically enlarges as it is being directly stimulated. </w:t>
      </w:r>
    </w:p>
    <w:p>
      <w:pPr>
        <w:spacing w:before="0" w:after="0" w:line="240"/>
        <w:ind w:right="0" w:left="0" w:firstLine="0"/>
        <w:jc w:val="left"/>
        <w:rPr>
          <w:rFonts w:ascii="Arial" w:hAnsi="Arial" w:cs="Arial" w:eastAsia="Arial"/>
          <w:color w:val="000000"/>
          <w:spacing w:val="0"/>
          <w:position w:val="0"/>
          <w:sz w:val="20"/>
          <w:shd w:fill="auto" w:val="clear"/>
        </w:rPr>
      </w:pPr>
    </w:p>
    <w:p>
      <w:pPr>
        <w:spacing w:before="0" w:after="200" w:line="276"/>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3.3 Finally, test the pupillary response to accommodation. </w:t>
      </w:r>
    </w:p>
    <w:p>
      <w:pPr>
        <w:spacing w:before="0" w:after="200" w:line="276"/>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3.3.1 Ask the patient to focus on your finger or the penlight itself and move it closer to their nose.</w:t>
      </w:r>
    </w:p>
    <w:p>
      <w:pPr>
        <w:spacing w:before="0" w:after="200" w:line="276"/>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3.3.2 Normally, the pupils constrict while fixating on an object being moved from far away to near the eyes. </w:t>
      </w:r>
    </w:p>
    <w:p>
      <w:pPr>
        <w:spacing w:before="0" w:after="20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4. Cranial nerves III, IV, and VI.</w:t>
      </w:r>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4.1 Ask the patient to follow your finger with their eyes while keeping their head in one position </w:t>
      </w:r>
    </w:p>
    <w:p>
      <w:pPr>
        <w:spacing w:before="0" w:after="0" w:line="240"/>
        <w:ind w:right="0" w:left="0" w:firstLine="0"/>
        <w:jc w:val="left"/>
        <w:rPr>
          <w:rFonts w:ascii="Arial" w:hAnsi="Arial" w:cs="Arial" w:eastAsia="Arial"/>
          <w:color w:val="000000"/>
          <w:spacing w:val="0"/>
          <w:position w:val="0"/>
          <w:sz w:val="20"/>
          <w:shd w:fill="auto" w:val="clear"/>
        </w:rPr>
      </w:pPr>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4.2 Using your finger, trace an imaginary letter "H" shape in front of them, making sure that your finger moves far enough out and up so that you're able to see all appropriate eye movements. Their eyes should move together throughout all planes of vision without the development of any double vision or eye muscle weakness.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4.2 Check convergence: instruct the patient to follow your finger as you slowly moving it towards their eyes. Look for restrictions of gaze as may be seen with a sixth nerve palsy when a patient cannot fully abduct one or both eyes. </w:t>
      </w:r>
    </w:p>
    <w:p>
      <w:pPr>
        <w:spacing w:before="0" w:after="0" w:line="240"/>
        <w:ind w:right="0" w:left="0" w:firstLine="0"/>
        <w:jc w:val="left"/>
        <w:rPr>
          <w:rFonts w:ascii="Arial" w:hAnsi="Arial" w:cs="Arial" w:eastAsia="Arial"/>
          <w:color w:val="000000"/>
          <w:spacing w:val="0"/>
          <w:position w:val="0"/>
          <w:sz w:val="20"/>
          <w:shd w:fill="auto" w:val="clear"/>
        </w:rPr>
      </w:pPr>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4.3 Look for nystagmus, which are rapid rhythmic jerking movements of the eye that can be especially seen on horizontal gaze.  In some instances nystagmus may be due to the effects of medications such as benzodiazepines or some antiepileptic medications, but it can also be associated with cerebellar dysfunction and vestibular disorders.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20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000000"/>
          <w:spacing w:val="0"/>
          <w:position w:val="0"/>
          <w:sz w:val="20"/>
          <w:shd w:fill="auto" w:val="clear"/>
        </w:rPr>
        <w:t xml:space="preserve">4.3 The third cranial nerve also controls elevation of the eyelid.  Observe for ptosis (drooping of the upper eyelids) as can be seen in lesions of the third nerve, Horner’s syndrome (ptosis, miosis, and decreased ipsilateral facial sweating caused by sympathetic lesions), or muscle diseases such as myasthenia gravis.</w:t>
      </w:r>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5. Cranial nerve V (Trigeminal nerve).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5.1 Evaluate the sensory function, by testing for pain and light touch sensation.</w:t>
      </w:r>
    </w:p>
    <w:p>
      <w:pPr>
        <w:spacing w:before="0" w:after="0" w:line="240"/>
        <w:ind w:right="0" w:left="0" w:firstLine="0"/>
        <w:jc w:val="left"/>
        <w:rPr>
          <w:rFonts w:ascii="Arial" w:hAnsi="Arial" w:cs="Arial" w:eastAsia="Arial"/>
          <w:color w:val="000000"/>
          <w:spacing w:val="0"/>
          <w:position w:val="0"/>
          <w:sz w:val="20"/>
          <w:shd w:fill="auto" w:val="clear"/>
        </w:rPr>
      </w:pPr>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5.1.1 Test for light touch by asking the patient if sensation is normal on each side while touching them in each of the 3 divisions of the trigeminal nerve separately.  Touch them on the left and right side and compare to see if the sensation is the same on both sides.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000000"/>
          <w:spacing w:val="0"/>
          <w:position w:val="0"/>
          <w:sz w:val="20"/>
          <w:shd w:fill="auto" w:val="clear"/>
        </w:rPr>
        <w:t xml:space="preserve">5.1.2 Test for pain sensation in all 3 sections of trigeminal nerve with the touch </w:t>
      </w:r>
      <w:r>
        <w:rPr>
          <w:rFonts w:ascii="Arial" w:hAnsi="Arial" w:cs="Arial" w:eastAsia="Arial"/>
          <w:color w:val="auto"/>
          <w:spacing w:val="0"/>
          <w:position w:val="0"/>
          <w:sz w:val="20"/>
          <w:shd w:fill="auto" w:val="clear"/>
        </w:rPr>
        <w:t xml:space="preserve">of a sharp object such as the tip of a safety pin.  Ask the patient to close their eyes and to describe a sensation as sharp or dull. Again, compare the </w:t>
      </w:r>
      <w:r>
        <w:rPr>
          <w:rFonts w:ascii="Arial" w:hAnsi="Arial" w:cs="Arial" w:eastAsia="Arial"/>
          <w:color w:val="000000"/>
          <w:spacing w:val="0"/>
          <w:position w:val="0"/>
          <w:sz w:val="20"/>
          <w:shd w:fill="auto" w:val="clear"/>
        </w:rPr>
        <w:t xml:space="preserve">left and right side to see if the sensation is equal.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5.2 To test for the motor function, have the patient bite down hard and palpate the masseter muscles. Feel for contraction of the muscle and assess for symmetry between sides.</w:t>
      </w:r>
    </w:p>
    <w:p>
      <w:pPr>
        <w:spacing w:before="0" w:after="0" w:line="240"/>
        <w:ind w:right="0" w:left="0" w:firstLine="0"/>
        <w:jc w:val="left"/>
        <w:rPr>
          <w:rFonts w:ascii="Arial" w:hAnsi="Arial" w:cs="Arial" w:eastAsia="Arial"/>
          <w:color w:val="000000"/>
          <w:spacing w:val="0"/>
          <w:position w:val="0"/>
          <w:sz w:val="20"/>
          <w:shd w:fill="auto" w:val="clear"/>
        </w:rPr>
      </w:pPr>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5.3 The corneal reflex is also an objective measure of cranial nerve V function and cranial nerve VII. This reflex is usually only tested if there is suspicion of a cranial nerve lesion or in an unresponsive patient.  If the patient is wearing contact lenses, the corneal reflex cannot be tested. </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000000"/>
          <w:spacing w:val="0"/>
          <w:position w:val="0"/>
          <w:sz w:val="20"/>
          <w:shd w:fill="auto" w:val="clear"/>
        </w:rPr>
        <w:t xml:space="preserve">  </w:t>
      </w:r>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5.3.1 To test for corneal reflexes, prepare a cotton swab by taking the end of the swab and pulling it out, leaving just a few strands of cotton projecting out so as to not injure the patient’s cornea.  </w:t>
      </w:r>
    </w:p>
    <w:p>
      <w:pPr>
        <w:spacing w:before="0" w:after="0" w:line="240"/>
        <w:ind w:right="0" w:left="0" w:firstLine="0"/>
        <w:jc w:val="left"/>
        <w:rPr>
          <w:rFonts w:ascii="Arial" w:hAnsi="Arial" w:cs="Arial" w:eastAsia="Arial"/>
          <w:color w:val="000000"/>
          <w:spacing w:val="0"/>
          <w:position w:val="0"/>
          <w:sz w:val="20"/>
          <w:shd w:fill="auto" w:val="clear"/>
        </w:rPr>
      </w:pPr>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5.3.2 Tell the patient to look to the left while testing right eye and look to the right while testing left eye after warning them that you are going to poke them in the eye.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5.3.3 Gently touch the patient’s corneal with a wisp of cotton and observe if there is a reflexive blink.  Make sure to test response on cornea, not just conjunctiva. Determine if any difference between eyes.</w:t>
      </w:r>
    </w:p>
    <w:p>
      <w:pPr>
        <w:spacing w:before="0" w:after="0" w:line="240"/>
        <w:ind w:right="0" w:left="0" w:firstLine="0"/>
        <w:jc w:val="left"/>
        <w:rPr>
          <w:rFonts w:ascii="Arial" w:hAnsi="Arial" w:cs="Arial" w:eastAsia="Arial"/>
          <w:color w:val="000000"/>
          <w:spacing w:val="0"/>
          <w:position w:val="0"/>
          <w:sz w:val="20"/>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strike w:val="true"/>
          <w:color w:val="auto"/>
          <w:spacing w:val="0"/>
          <w:position w:val="0"/>
          <w:sz w:val="24"/>
          <w:shd w:fill="auto" w:val="clear"/>
        </w:rPr>
      </w:pPr>
      <w:r>
        <w:rPr>
          <w:rFonts w:ascii="Calibri" w:hAnsi="Calibri" w:cs="Calibri" w:eastAsia="Calibri"/>
          <w:b/>
          <w:strike w:val="true"/>
          <w:color w:val="auto"/>
          <w:spacing w:val="0"/>
          <w:position w:val="0"/>
          <w:sz w:val="24"/>
          <w:shd w:fill="auto" w:val="clear"/>
        </w:rPr>
        <w:t xml:space="preserve">RESULTS:</w:t>
      </w:r>
    </w:p>
    <w:p>
      <w:pPr>
        <w:spacing w:before="0" w:after="0" w:line="240"/>
        <w:ind w:right="0" w:left="0" w:firstLine="0"/>
        <w:jc w:val="left"/>
        <w:rPr>
          <w:rFonts w:ascii="Calibri" w:hAnsi="Calibri" w:cs="Calibri" w:eastAsia="Calibri"/>
          <w:b/>
          <w:strike w:val="true"/>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200" w:line="240"/>
        <w:ind w:right="0" w:left="0" w:firstLine="0"/>
        <w:jc w:val="left"/>
        <w:rPr>
          <w:rFonts w:ascii="Arial" w:hAnsi="Arial" w:cs="Arial" w:eastAsia="Arial"/>
          <w:color w:val="000000"/>
          <w:spacing w:val="0"/>
          <w:position w:val="0"/>
          <w:sz w:val="20"/>
          <w:shd w:fill="auto" w:val="clear"/>
        </w:rPr>
      </w:pPr>
    </w:p>
    <w:p>
      <w:pPr>
        <w:spacing w:before="0" w:after="20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This video demonstrates a systematic approach to examining the first six cranial nerves. The central and peripheral nervous systems are an integrated system. Therefore if the clues to a neurological problem are uncovered during the history taking or the mental status exam, it should make the clinician more vigilant during the rest of the examination of the nervous system to look for other abnormalities. A clinician should develop a pattern of going through each nerve in numerical order and only document those nerves that were actually examined in your final report.  Patients are often being followed for diseases such as multiple sclerosis where findings may be changing over time</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The documentation from one examination to another are important to follow and the findings should be carefully charted.  It is not adequate to just look at the patient and then state “Cranial nerves II-XII are intact” as is so often recorded during a typical physical examination.</w:t>
      </w:r>
    </w:p>
    <w:p>
      <w:pPr>
        <w:spacing w:before="0" w:after="200" w:line="276"/>
        <w:ind w:right="0" w:left="0" w:firstLine="0"/>
        <w:jc w:val="left"/>
        <w:rPr>
          <w:rFonts w:ascii="Arial" w:hAnsi="Arial" w:cs="Arial" w:eastAsia="Arial"/>
          <w:color w:val="auto"/>
          <w:spacing w:val="0"/>
          <w:position w:val="0"/>
          <w:sz w:val="20"/>
          <w:shd w:fill="auto" w:val="clear"/>
        </w:rPr>
      </w:pPr>
    </w:p>
    <w:p>
      <w:pPr>
        <w:spacing w:before="0" w:after="200" w:line="276"/>
        <w:ind w:right="0" w:left="0" w:firstLine="0"/>
        <w:jc w:val="left"/>
        <w:rPr>
          <w:rFonts w:ascii="Arial" w:hAnsi="Arial" w:cs="Arial" w:eastAsia="Arial"/>
          <w:color w:val="auto"/>
          <w:spacing w:val="0"/>
          <w:position w:val="0"/>
          <w:sz w:val="20"/>
          <w:shd w:fill="auto" w:val="clear"/>
        </w:rPr>
      </w:pPr>
    </w:p>
    <w:p>
      <w:pPr>
        <w:spacing w:before="0" w:after="200" w:line="276"/>
        <w:ind w:right="0" w:left="0" w:firstLine="0"/>
        <w:jc w:val="left"/>
        <w:rPr>
          <w:rFonts w:ascii="Arial" w:hAnsi="Arial" w:cs="Arial" w:eastAsia="Arial"/>
          <w:color w:val="auto"/>
          <w:spacing w:val="0"/>
          <w:position w:val="0"/>
          <w:sz w:val="20"/>
          <w:shd w:fill="auto" w:val="clear"/>
        </w:rPr>
      </w:pPr>
    </w:p>
    <w:p>
      <w:pPr>
        <w:spacing w:before="0" w:after="200" w:line="276"/>
        <w:ind w:right="0" w:left="0" w:firstLine="0"/>
        <w:jc w:val="left"/>
        <w:rPr>
          <w:rFonts w:ascii="Arial" w:hAnsi="Arial" w:cs="Arial" w:eastAsia="Arial"/>
          <w:color w:val="auto"/>
          <w:spacing w:val="0"/>
          <w:position w:val="0"/>
          <w:sz w:val="20"/>
          <w:shd w:fill="auto" w:val="clear"/>
        </w:rPr>
      </w:pPr>
    </w:p>
    <w:p>
      <w:pPr>
        <w:spacing w:before="0" w:after="200" w:line="276"/>
        <w:ind w:right="0" w:left="0" w:firstLine="0"/>
        <w:jc w:val="left"/>
        <w:rPr>
          <w:rFonts w:ascii="Arial" w:hAnsi="Arial" w:cs="Arial" w:eastAsia="Arial"/>
          <w:color w:val="auto"/>
          <w:spacing w:val="0"/>
          <w:position w:val="0"/>
          <w:sz w:val="20"/>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