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65FFE" w14:textId="00E52913" w:rsidR="008038C6" w:rsidRPr="00D3572C" w:rsidRDefault="00977392">
      <w:pPr>
        <w:rPr>
          <w:sz w:val="22"/>
          <w:szCs w:val="22"/>
        </w:rPr>
      </w:pPr>
      <w:r w:rsidRPr="00D3572C">
        <w:rPr>
          <w:sz w:val="22"/>
          <w:szCs w:val="22"/>
        </w:rPr>
        <w:t xml:space="preserve">Title: </w:t>
      </w:r>
      <w:r w:rsidR="003C107A">
        <w:rPr>
          <w:sz w:val="22"/>
          <w:szCs w:val="22"/>
        </w:rPr>
        <w:t>SNP Genotyping</w:t>
      </w:r>
    </w:p>
    <w:p w14:paraId="04DD9B7F" w14:textId="77777777" w:rsidR="00D9670B" w:rsidRPr="00D3572C" w:rsidRDefault="00D9670B">
      <w:pPr>
        <w:rPr>
          <w:sz w:val="22"/>
          <w:szCs w:val="22"/>
        </w:rPr>
      </w:pPr>
    </w:p>
    <w:p w14:paraId="6948B55B" w14:textId="62F6F227" w:rsidR="00D3572C" w:rsidRDefault="00D9670B">
      <w:pPr>
        <w:rPr>
          <w:sz w:val="22"/>
          <w:szCs w:val="22"/>
        </w:rPr>
      </w:pPr>
      <w:r w:rsidRPr="00D3572C">
        <w:rPr>
          <w:sz w:val="22"/>
          <w:szCs w:val="22"/>
        </w:rPr>
        <w:t>Abstract:</w:t>
      </w:r>
    </w:p>
    <w:p w14:paraId="36B4B795" w14:textId="607F75F4" w:rsidR="00FD01F7" w:rsidRPr="003C107A" w:rsidRDefault="00866CEE">
      <w:pPr>
        <w:rPr>
          <w:sz w:val="22"/>
          <w:szCs w:val="22"/>
        </w:rPr>
      </w:pPr>
      <w:r>
        <w:rPr>
          <w:sz w:val="22"/>
          <w:szCs w:val="22"/>
        </w:rPr>
        <w:t xml:space="preserve">Single nucleotide polymorphisms, or SNPs, </w:t>
      </w:r>
      <w:r w:rsidR="00AA0CE9">
        <w:rPr>
          <w:sz w:val="22"/>
          <w:szCs w:val="22"/>
        </w:rPr>
        <w:t xml:space="preserve">are </w:t>
      </w:r>
      <w:r>
        <w:rPr>
          <w:sz w:val="22"/>
          <w:szCs w:val="22"/>
        </w:rPr>
        <w:t xml:space="preserve">the most common form of genetic variation in humans. </w:t>
      </w:r>
      <w:r w:rsidR="00AA0CE9">
        <w:rPr>
          <w:sz w:val="22"/>
          <w:szCs w:val="22"/>
        </w:rPr>
        <w:t>These differences at individual bases in the DNA</w:t>
      </w:r>
      <w:r>
        <w:rPr>
          <w:sz w:val="22"/>
          <w:szCs w:val="22"/>
        </w:rPr>
        <w:t xml:space="preserve"> often do not directly affect gene expression, but </w:t>
      </w:r>
      <w:r w:rsidR="00AA0CE9">
        <w:rPr>
          <w:sz w:val="22"/>
          <w:szCs w:val="22"/>
        </w:rPr>
        <w:t xml:space="preserve">in many cases </w:t>
      </w:r>
      <w:r>
        <w:rPr>
          <w:sz w:val="22"/>
          <w:szCs w:val="22"/>
        </w:rPr>
        <w:t xml:space="preserve">can </w:t>
      </w:r>
      <w:r w:rsidR="00AA0CE9">
        <w:rPr>
          <w:sz w:val="22"/>
          <w:szCs w:val="22"/>
        </w:rPr>
        <w:t xml:space="preserve">still </w:t>
      </w:r>
      <w:r>
        <w:rPr>
          <w:sz w:val="22"/>
          <w:szCs w:val="22"/>
        </w:rPr>
        <w:t xml:space="preserve">be useful </w:t>
      </w:r>
      <w:r w:rsidR="00AA0CE9">
        <w:rPr>
          <w:sz w:val="22"/>
          <w:szCs w:val="22"/>
        </w:rPr>
        <w:t>for locating disease-associated genes or for diagnosing patients</w:t>
      </w:r>
      <w:r>
        <w:rPr>
          <w:sz w:val="22"/>
          <w:szCs w:val="22"/>
        </w:rPr>
        <w:t xml:space="preserve">. Numerous methodologies have been established </w:t>
      </w:r>
      <w:r w:rsidR="001712D2">
        <w:rPr>
          <w:sz w:val="22"/>
          <w:szCs w:val="22"/>
        </w:rPr>
        <w:t>to identify</w:t>
      </w:r>
      <w:r w:rsidR="00AA0CE9">
        <w:rPr>
          <w:sz w:val="22"/>
          <w:szCs w:val="22"/>
        </w:rPr>
        <w:t>,</w:t>
      </w:r>
      <w:r w:rsidR="001712D2">
        <w:rPr>
          <w:sz w:val="22"/>
          <w:szCs w:val="22"/>
        </w:rPr>
        <w:t xml:space="preserve"> or </w:t>
      </w:r>
      <w:r w:rsidR="00AA0CE9">
        <w:rPr>
          <w:sz w:val="22"/>
          <w:szCs w:val="22"/>
        </w:rPr>
        <w:t xml:space="preserve">“genotype”, </w:t>
      </w:r>
      <w:r w:rsidR="001712D2">
        <w:rPr>
          <w:sz w:val="22"/>
          <w:szCs w:val="22"/>
        </w:rPr>
        <w:t>SNPs.</w:t>
      </w:r>
    </w:p>
    <w:p w14:paraId="2D906E6C" w14:textId="77777777" w:rsidR="002A1631" w:rsidRPr="003C107A" w:rsidRDefault="002A1631">
      <w:pPr>
        <w:rPr>
          <w:sz w:val="22"/>
          <w:szCs w:val="22"/>
        </w:rPr>
      </w:pPr>
    </w:p>
    <w:p w14:paraId="3F286BB5" w14:textId="5B027664" w:rsidR="002B67EA" w:rsidRDefault="00980804">
      <w:pPr>
        <w:rPr>
          <w:rFonts w:eastAsia="Calibri"/>
          <w:sz w:val="22"/>
          <w:szCs w:val="22"/>
        </w:rPr>
      </w:pPr>
      <w:proofErr w:type="spellStart"/>
      <w:r>
        <w:rPr>
          <w:rFonts w:eastAsia="Calibri"/>
          <w:sz w:val="22"/>
          <w:szCs w:val="22"/>
        </w:rPr>
        <w:t>JoVE’s</w:t>
      </w:r>
      <w:proofErr w:type="spellEnd"/>
      <w:r>
        <w:rPr>
          <w:rFonts w:eastAsia="Calibri"/>
          <w:sz w:val="22"/>
          <w:szCs w:val="22"/>
        </w:rPr>
        <w:t xml:space="preserve"> introduction to SNP Genotyping</w:t>
      </w:r>
      <w:r w:rsidR="003C107A" w:rsidRPr="003C107A">
        <w:rPr>
          <w:rFonts w:eastAsia="Calibri"/>
          <w:sz w:val="22"/>
          <w:szCs w:val="22"/>
        </w:rPr>
        <w:t xml:space="preserve"> </w:t>
      </w:r>
      <w:r w:rsidR="00E946D1">
        <w:rPr>
          <w:rFonts w:eastAsia="Calibri"/>
          <w:sz w:val="22"/>
          <w:szCs w:val="22"/>
        </w:rPr>
        <w:t xml:space="preserve">begins by </w:t>
      </w:r>
      <w:r w:rsidR="003C107A" w:rsidRPr="003C107A">
        <w:rPr>
          <w:rFonts w:eastAsia="Calibri"/>
          <w:sz w:val="22"/>
          <w:szCs w:val="22"/>
        </w:rPr>
        <w:t>discuss</w:t>
      </w:r>
      <w:r w:rsidR="00E946D1">
        <w:rPr>
          <w:rFonts w:eastAsia="Calibri"/>
          <w:sz w:val="22"/>
          <w:szCs w:val="22"/>
        </w:rPr>
        <w:t>ing</w:t>
      </w:r>
      <w:r w:rsidR="003C107A" w:rsidRPr="003C107A">
        <w:rPr>
          <w:rFonts w:eastAsia="Calibri"/>
          <w:sz w:val="22"/>
          <w:szCs w:val="22"/>
        </w:rPr>
        <w:t xml:space="preserve"> </w:t>
      </w:r>
      <w:r w:rsidR="00E946D1">
        <w:rPr>
          <w:rFonts w:eastAsia="Calibri"/>
          <w:sz w:val="22"/>
          <w:szCs w:val="22"/>
        </w:rPr>
        <w:t xml:space="preserve">what </w:t>
      </w:r>
      <w:r w:rsidR="003C107A" w:rsidRPr="003C107A">
        <w:rPr>
          <w:rFonts w:eastAsia="Calibri"/>
          <w:sz w:val="22"/>
          <w:szCs w:val="22"/>
        </w:rPr>
        <w:t>SNP</w:t>
      </w:r>
      <w:r w:rsidR="00E946D1">
        <w:rPr>
          <w:rFonts w:eastAsia="Calibri"/>
          <w:sz w:val="22"/>
          <w:szCs w:val="22"/>
        </w:rPr>
        <w:t xml:space="preserve">s </w:t>
      </w:r>
      <w:r w:rsidR="00C052E2">
        <w:rPr>
          <w:rFonts w:eastAsia="Calibri"/>
          <w:sz w:val="22"/>
          <w:szCs w:val="22"/>
        </w:rPr>
        <w:t xml:space="preserve">are </w:t>
      </w:r>
      <w:r w:rsidR="00E946D1">
        <w:rPr>
          <w:rFonts w:eastAsia="Calibri"/>
          <w:sz w:val="22"/>
          <w:szCs w:val="22"/>
        </w:rPr>
        <w:t>and how they can be used to identify disease-associated genes</w:t>
      </w:r>
      <w:r w:rsidR="003C107A">
        <w:rPr>
          <w:rFonts w:eastAsia="Calibri"/>
          <w:sz w:val="22"/>
          <w:szCs w:val="22"/>
        </w:rPr>
        <w:t xml:space="preserve">. </w:t>
      </w:r>
      <w:r w:rsidR="00E946D1">
        <w:rPr>
          <w:rFonts w:eastAsia="Calibri"/>
          <w:sz w:val="22"/>
          <w:szCs w:val="22"/>
        </w:rPr>
        <w:t>S</w:t>
      </w:r>
      <w:r w:rsidR="003C107A" w:rsidRPr="003C107A">
        <w:rPr>
          <w:rFonts w:eastAsia="Calibri"/>
          <w:sz w:val="22"/>
          <w:szCs w:val="22"/>
        </w:rPr>
        <w:t xml:space="preserve">everal common SNP </w:t>
      </w:r>
      <w:r w:rsidR="00E946D1">
        <w:rPr>
          <w:rFonts w:eastAsia="Calibri"/>
          <w:sz w:val="22"/>
          <w:szCs w:val="22"/>
        </w:rPr>
        <w:t>genotyping</w:t>
      </w:r>
      <w:r w:rsidR="00E946D1" w:rsidRPr="003C107A">
        <w:rPr>
          <w:rFonts w:eastAsia="Calibri"/>
          <w:sz w:val="22"/>
          <w:szCs w:val="22"/>
        </w:rPr>
        <w:t xml:space="preserve"> </w:t>
      </w:r>
      <w:r w:rsidR="003C107A" w:rsidRPr="003C107A">
        <w:rPr>
          <w:rFonts w:eastAsia="Calibri"/>
          <w:sz w:val="22"/>
          <w:szCs w:val="22"/>
        </w:rPr>
        <w:t>methods</w:t>
      </w:r>
      <w:r w:rsidR="003C107A">
        <w:rPr>
          <w:rFonts w:eastAsia="Calibri"/>
          <w:sz w:val="22"/>
          <w:szCs w:val="22"/>
        </w:rPr>
        <w:t xml:space="preserve"> </w:t>
      </w:r>
      <w:r w:rsidR="00E946D1">
        <w:rPr>
          <w:rFonts w:eastAsia="Calibri"/>
          <w:sz w:val="22"/>
          <w:szCs w:val="22"/>
        </w:rPr>
        <w:t xml:space="preserve">are then examined, </w:t>
      </w:r>
      <w:r w:rsidR="003C107A">
        <w:rPr>
          <w:rFonts w:eastAsia="Calibri"/>
          <w:sz w:val="22"/>
          <w:szCs w:val="22"/>
        </w:rPr>
        <w:t>including direct hybridization</w:t>
      </w:r>
      <w:r w:rsidR="003C107A" w:rsidRPr="003C107A">
        <w:rPr>
          <w:rFonts w:eastAsia="Calibri"/>
          <w:sz w:val="22"/>
          <w:szCs w:val="22"/>
        </w:rPr>
        <w:t>,</w:t>
      </w:r>
      <w:r w:rsidR="003C107A">
        <w:rPr>
          <w:rFonts w:eastAsia="Calibri"/>
          <w:sz w:val="22"/>
          <w:szCs w:val="22"/>
        </w:rPr>
        <w:t xml:space="preserve"> PCR-based methods, </w:t>
      </w:r>
      <w:r w:rsidR="00FD01F7">
        <w:rPr>
          <w:rFonts w:eastAsia="Calibri"/>
          <w:sz w:val="22"/>
          <w:szCs w:val="22"/>
        </w:rPr>
        <w:t>fragment analysis, a</w:t>
      </w:r>
      <w:r w:rsidR="001712D2">
        <w:rPr>
          <w:rFonts w:eastAsia="Calibri"/>
          <w:sz w:val="22"/>
          <w:szCs w:val="22"/>
        </w:rPr>
        <w:t xml:space="preserve">nd </w:t>
      </w:r>
      <w:r w:rsidR="00FD01F7">
        <w:rPr>
          <w:rFonts w:eastAsia="Calibri"/>
          <w:sz w:val="22"/>
          <w:szCs w:val="22"/>
        </w:rPr>
        <w:t xml:space="preserve">sequencing. Finally, </w:t>
      </w:r>
      <w:r w:rsidR="00E946D1">
        <w:rPr>
          <w:rFonts w:eastAsia="Calibri"/>
          <w:sz w:val="22"/>
          <w:szCs w:val="22"/>
        </w:rPr>
        <w:t xml:space="preserve">we present </w:t>
      </w:r>
      <w:r w:rsidR="00FD01F7">
        <w:rPr>
          <w:rFonts w:eastAsia="Calibri"/>
          <w:sz w:val="22"/>
          <w:szCs w:val="22"/>
        </w:rPr>
        <w:t xml:space="preserve">several </w:t>
      </w:r>
      <w:r w:rsidR="00E946D1">
        <w:rPr>
          <w:rFonts w:eastAsia="Calibri"/>
          <w:sz w:val="22"/>
          <w:szCs w:val="22"/>
        </w:rPr>
        <w:t xml:space="preserve">examples of how these techniques </w:t>
      </w:r>
      <w:r w:rsidR="00C052E2">
        <w:rPr>
          <w:rFonts w:eastAsia="Calibri"/>
          <w:sz w:val="22"/>
          <w:szCs w:val="22"/>
        </w:rPr>
        <w:t>are applied to genetic research today</w:t>
      </w:r>
      <w:r w:rsidR="003C107A" w:rsidRPr="003C107A">
        <w:rPr>
          <w:rFonts w:eastAsia="Calibri"/>
          <w:sz w:val="22"/>
          <w:szCs w:val="22"/>
        </w:rPr>
        <w:t>.</w:t>
      </w:r>
    </w:p>
    <w:p w14:paraId="0BD8C195" w14:textId="77777777" w:rsidR="003C107A" w:rsidRPr="003C107A" w:rsidRDefault="003C107A">
      <w:pPr>
        <w:rPr>
          <w:sz w:val="22"/>
          <w:szCs w:val="22"/>
        </w:rPr>
      </w:pPr>
    </w:p>
    <w:p w14:paraId="0CB8C677" w14:textId="77777777" w:rsidR="002B67EA" w:rsidRPr="003C107A" w:rsidRDefault="002B67EA">
      <w:pPr>
        <w:rPr>
          <w:sz w:val="22"/>
          <w:szCs w:val="22"/>
        </w:rPr>
      </w:pPr>
      <w:r w:rsidRPr="003C107A">
        <w:rPr>
          <w:sz w:val="22"/>
          <w:szCs w:val="22"/>
        </w:rPr>
        <w:t>Application videos:</w:t>
      </w:r>
    </w:p>
    <w:p w14:paraId="27A27030" w14:textId="77777777" w:rsidR="002B67EA" w:rsidRPr="003C107A" w:rsidRDefault="002B67EA">
      <w:pPr>
        <w:rPr>
          <w:sz w:val="22"/>
          <w:szCs w:val="22"/>
        </w:rPr>
      </w:pPr>
    </w:p>
    <w:p w14:paraId="1DB6BAAE" w14:textId="30ED96E2" w:rsidR="002B67EA" w:rsidRPr="003C107A" w:rsidRDefault="002B67EA" w:rsidP="002B67EA">
      <w:pPr>
        <w:rPr>
          <w:sz w:val="22"/>
          <w:szCs w:val="22"/>
        </w:rPr>
      </w:pPr>
      <w:r w:rsidRPr="003C107A">
        <w:rPr>
          <w:sz w:val="22"/>
          <w:szCs w:val="22"/>
        </w:rPr>
        <w:t xml:space="preserve">1. </w:t>
      </w:r>
      <w:r w:rsidR="003F024A" w:rsidRPr="003F024A">
        <w:rPr>
          <w:sz w:val="22"/>
          <w:szCs w:val="22"/>
        </w:rPr>
        <w:t xml:space="preserve">A PCR-based Genotyping Method to Distinguish Between Wild-type and Ornamental Varieties of </w:t>
      </w:r>
      <w:proofErr w:type="spellStart"/>
      <w:r w:rsidR="003F024A" w:rsidRPr="003F024A">
        <w:rPr>
          <w:i/>
          <w:sz w:val="22"/>
          <w:szCs w:val="22"/>
        </w:rPr>
        <w:t>Imperata</w:t>
      </w:r>
      <w:proofErr w:type="spellEnd"/>
      <w:r w:rsidR="003F024A" w:rsidRPr="003F024A">
        <w:rPr>
          <w:i/>
          <w:sz w:val="22"/>
          <w:szCs w:val="22"/>
        </w:rPr>
        <w:t xml:space="preserve"> </w:t>
      </w:r>
      <w:proofErr w:type="spellStart"/>
      <w:r w:rsidR="003F024A" w:rsidRPr="003F024A">
        <w:rPr>
          <w:i/>
          <w:sz w:val="22"/>
          <w:szCs w:val="22"/>
        </w:rPr>
        <w:t>cylindrica</w:t>
      </w:r>
      <w:proofErr w:type="spellEnd"/>
      <w:r w:rsidR="00BC4E89" w:rsidRPr="003C107A">
        <w:rPr>
          <w:sz w:val="22"/>
          <w:szCs w:val="22"/>
        </w:rPr>
        <w:t xml:space="preserve"> </w:t>
      </w:r>
      <w:r w:rsidR="00990DAD" w:rsidRPr="003C107A">
        <w:rPr>
          <w:b/>
          <w:sz w:val="22"/>
          <w:szCs w:val="22"/>
        </w:rPr>
        <w:t>(</w:t>
      </w:r>
      <w:r w:rsidR="003F024A">
        <w:rPr>
          <w:b/>
          <w:sz w:val="22"/>
          <w:szCs w:val="22"/>
        </w:rPr>
        <w:t xml:space="preserve">3265 Thumbnail @ </w:t>
      </w:r>
      <w:r w:rsidR="000E1D0C">
        <w:rPr>
          <w:b/>
          <w:sz w:val="22"/>
          <w:szCs w:val="22"/>
        </w:rPr>
        <w:t>9:12</w:t>
      </w:r>
      <w:r w:rsidR="00DD7281" w:rsidRPr="003C107A">
        <w:rPr>
          <w:b/>
          <w:sz w:val="22"/>
          <w:szCs w:val="22"/>
        </w:rPr>
        <w:t xml:space="preserve"> – </w:t>
      </w:r>
      <w:r w:rsidR="000E1D0C">
        <w:rPr>
          <w:b/>
          <w:sz w:val="22"/>
          <w:szCs w:val="22"/>
        </w:rPr>
        <w:t>Visualizing gel bands under UV light</w:t>
      </w:r>
      <w:r w:rsidR="00990DAD" w:rsidRPr="003C107A">
        <w:rPr>
          <w:b/>
          <w:sz w:val="22"/>
          <w:szCs w:val="22"/>
        </w:rPr>
        <w:t>)</w:t>
      </w:r>
    </w:p>
    <w:p w14:paraId="06246581" w14:textId="77777777" w:rsidR="002B67EA" w:rsidRPr="003C107A" w:rsidRDefault="002B67EA" w:rsidP="002B67EA">
      <w:pPr>
        <w:rPr>
          <w:sz w:val="22"/>
          <w:szCs w:val="22"/>
        </w:rPr>
      </w:pPr>
    </w:p>
    <w:p w14:paraId="3D56B37F" w14:textId="51F1F3EA" w:rsidR="002B67EA" w:rsidRPr="00D3572C" w:rsidRDefault="00AF7373" w:rsidP="002B67EA">
      <w:pPr>
        <w:rPr>
          <w:sz w:val="22"/>
          <w:szCs w:val="22"/>
        </w:rPr>
      </w:pPr>
      <w:r w:rsidRPr="003C107A">
        <w:rPr>
          <w:sz w:val="22"/>
          <w:szCs w:val="22"/>
        </w:rPr>
        <w:t>Description</w:t>
      </w:r>
      <w:r w:rsidR="002B67EA" w:rsidRPr="003C107A">
        <w:rPr>
          <w:sz w:val="22"/>
          <w:szCs w:val="22"/>
        </w:rPr>
        <w:t xml:space="preserve">: </w:t>
      </w:r>
      <w:r w:rsidR="00C052E2">
        <w:rPr>
          <w:sz w:val="22"/>
          <w:szCs w:val="22"/>
        </w:rPr>
        <w:t xml:space="preserve">Phenotypically similar </w:t>
      </w:r>
      <w:r w:rsidR="0070682B">
        <w:rPr>
          <w:sz w:val="22"/>
          <w:szCs w:val="22"/>
        </w:rPr>
        <w:t>varieties</w:t>
      </w:r>
      <w:r w:rsidR="00C052E2">
        <w:rPr>
          <w:sz w:val="22"/>
          <w:szCs w:val="22"/>
        </w:rPr>
        <w:t xml:space="preserve"> of organisms might in fact be genetically </w:t>
      </w:r>
      <w:r w:rsidR="00AD1C63">
        <w:rPr>
          <w:sz w:val="22"/>
          <w:szCs w:val="22"/>
        </w:rPr>
        <w:t>distinct,</w:t>
      </w:r>
      <w:r w:rsidR="00C052E2">
        <w:rPr>
          <w:sz w:val="22"/>
          <w:szCs w:val="22"/>
        </w:rPr>
        <w:t xml:space="preserve"> </w:t>
      </w:r>
      <w:r w:rsidR="00AD1C63">
        <w:rPr>
          <w:sz w:val="22"/>
          <w:szCs w:val="22"/>
        </w:rPr>
        <w:t>which could have important</w:t>
      </w:r>
      <w:r w:rsidR="00C052E2">
        <w:rPr>
          <w:sz w:val="22"/>
          <w:szCs w:val="22"/>
        </w:rPr>
        <w:t xml:space="preserve"> ecological or agricultural </w:t>
      </w:r>
      <w:r w:rsidR="00AD1C63">
        <w:rPr>
          <w:sz w:val="22"/>
          <w:szCs w:val="22"/>
        </w:rPr>
        <w:t>consequences</w:t>
      </w:r>
      <w:r w:rsidR="00C052E2">
        <w:rPr>
          <w:sz w:val="22"/>
          <w:szCs w:val="22"/>
        </w:rPr>
        <w:t xml:space="preserve">. Authors of </w:t>
      </w:r>
      <w:r w:rsidR="003F024A">
        <w:rPr>
          <w:sz w:val="22"/>
          <w:szCs w:val="22"/>
        </w:rPr>
        <w:t>t</w:t>
      </w:r>
      <w:r w:rsidR="00BC4E89" w:rsidRPr="003C107A">
        <w:rPr>
          <w:sz w:val="22"/>
          <w:szCs w:val="22"/>
        </w:rPr>
        <w:t xml:space="preserve">his </w:t>
      </w:r>
      <w:r w:rsidR="00C052E2">
        <w:rPr>
          <w:sz w:val="22"/>
          <w:szCs w:val="22"/>
        </w:rPr>
        <w:t>article used</w:t>
      </w:r>
      <w:r w:rsidR="003F024A">
        <w:rPr>
          <w:sz w:val="22"/>
          <w:szCs w:val="22"/>
        </w:rPr>
        <w:t xml:space="preserve"> PCR-based genotyping to </w:t>
      </w:r>
      <w:r w:rsidR="00AD1C63">
        <w:rPr>
          <w:sz w:val="22"/>
          <w:szCs w:val="22"/>
        </w:rPr>
        <w:t xml:space="preserve">distinguish between </w:t>
      </w:r>
      <w:r w:rsidR="00191980">
        <w:rPr>
          <w:sz w:val="22"/>
          <w:szCs w:val="22"/>
        </w:rPr>
        <w:t xml:space="preserve">wild type </w:t>
      </w:r>
      <w:proofErr w:type="spellStart"/>
      <w:r w:rsidR="00AD1C63">
        <w:rPr>
          <w:sz w:val="22"/>
          <w:szCs w:val="22"/>
        </w:rPr>
        <w:t>cogongrass</w:t>
      </w:r>
      <w:proofErr w:type="spellEnd"/>
      <w:r w:rsidR="00AD1C63">
        <w:rPr>
          <w:sz w:val="22"/>
          <w:szCs w:val="22"/>
        </w:rPr>
        <w:t xml:space="preserve">, a highly invasive weed, and individuals </w:t>
      </w:r>
      <w:r w:rsidR="00191980">
        <w:rPr>
          <w:sz w:val="22"/>
          <w:szCs w:val="22"/>
        </w:rPr>
        <w:t>from</w:t>
      </w:r>
      <w:r w:rsidR="00AD1C63">
        <w:rPr>
          <w:sz w:val="22"/>
          <w:szCs w:val="22"/>
        </w:rPr>
        <w:t xml:space="preserve"> a cultivated ornamental </w:t>
      </w:r>
      <w:r w:rsidR="0070682B">
        <w:rPr>
          <w:sz w:val="22"/>
          <w:szCs w:val="22"/>
        </w:rPr>
        <w:t>strain</w:t>
      </w:r>
      <w:r w:rsidR="00AD1C63">
        <w:rPr>
          <w:sz w:val="22"/>
          <w:szCs w:val="22"/>
        </w:rPr>
        <w:t xml:space="preserve"> of the same species that had reverted to a non-sterile state</w:t>
      </w:r>
      <w:r w:rsidR="00F63CB9">
        <w:rPr>
          <w:sz w:val="22"/>
          <w:szCs w:val="22"/>
        </w:rPr>
        <w:t>.</w:t>
      </w:r>
      <w:r w:rsidR="00AD1C63">
        <w:rPr>
          <w:sz w:val="22"/>
          <w:szCs w:val="22"/>
        </w:rPr>
        <w:t xml:space="preserve"> </w:t>
      </w:r>
      <w:r w:rsidR="00191980">
        <w:rPr>
          <w:sz w:val="22"/>
          <w:szCs w:val="22"/>
        </w:rPr>
        <w:t>This data is important in assessing whether these two varieties co-occur at a locale</w:t>
      </w:r>
      <w:r w:rsidR="0070682B">
        <w:rPr>
          <w:sz w:val="22"/>
          <w:szCs w:val="22"/>
        </w:rPr>
        <w:t xml:space="preserve"> and thus have the possibility of hybridizing to form hardier strains.</w:t>
      </w:r>
    </w:p>
    <w:p w14:paraId="4230DA5D" w14:textId="0E53E5AA" w:rsidR="002B67EA" w:rsidRPr="00D3572C" w:rsidRDefault="002B013F" w:rsidP="002B67E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73609B5" w14:textId="26143959" w:rsidR="002B67EA" w:rsidRPr="00B57916" w:rsidRDefault="002B67EA" w:rsidP="002B67EA">
      <w:pPr>
        <w:rPr>
          <w:b/>
          <w:iCs/>
          <w:sz w:val="22"/>
          <w:szCs w:val="22"/>
        </w:rPr>
      </w:pPr>
      <w:r w:rsidRPr="00D3572C">
        <w:rPr>
          <w:sz w:val="22"/>
          <w:szCs w:val="22"/>
        </w:rPr>
        <w:t xml:space="preserve">2. </w:t>
      </w:r>
      <w:r w:rsidR="00F63CB9" w:rsidRPr="00F63CB9">
        <w:rPr>
          <w:iCs/>
          <w:sz w:val="22"/>
          <w:szCs w:val="22"/>
        </w:rPr>
        <w:t xml:space="preserve">Demonstrating a Multi-drug Resistant Mycobacterium tuberculosis Amplification Microarray </w:t>
      </w:r>
      <w:r w:rsidR="00990DAD" w:rsidRPr="00B57916">
        <w:rPr>
          <w:b/>
          <w:iCs/>
          <w:sz w:val="22"/>
          <w:szCs w:val="22"/>
        </w:rPr>
        <w:t>(</w:t>
      </w:r>
      <w:r w:rsidR="00F63CB9">
        <w:rPr>
          <w:b/>
          <w:iCs/>
          <w:sz w:val="22"/>
          <w:szCs w:val="22"/>
        </w:rPr>
        <w:t>51256</w:t>
      </w:r>
      <w:r w:rsidR="0048691C">
        <w:rPr>
          <w:b/>
          <w:iCs/>
          <w:sz w:val="22"/>
          <w:szCs w:val="22"/>
        </w:rPr>
        <w:t xml:space="preserve"> Thumbnail @ 2:05</w:t>
      </w:r>
      <w:r w:rsidR="00B57916" w:rsidRPr="00B57916">
        <w:rPr>
          <w:b/>
          <w:iCs/>
          <w:sz w:val="22"/>
          <w:szCs w:val="22"/>
        </w:rPr>
        <w:t xml:space="preserve"> </w:t>
      </w:r>
      <w:r w:rsidR="0048691C">
        <w:rPr>
          <w:b/>
          <w:iCs/>
          <w:sz w:val="22"/>
          <w:szCs w:val="22"/>
        </w:rPr>
        <w:t>loading the microarray</w:t>
      </w:r>
      <w:r w:rsidR="00990DAD" w:rsidRPr="00B57916">
        <w:rPr>
          <w:b/>
          <w:iCs/>
          <w:sz w:val="22"/>
          <w:szCs w:val="22"/>
        </w:rPr>
        <w:t>)</w:t>
      </w:r>
    </w:p>
    <w:p w14:paraId="1F1F627C" w14:textId="77777777" w:rsidR="002B67EA" w:rsidRPr="002B013F" w:rsidRDefault="002B67EA" w:rsidP="002B67EA">
      <w:pPr>
        <w:rPr>
          <w:iCs/>
          <w:sz w:val="22"/>
          <w:szCs w:val="22"/>
        </w:rPr>
      </w:pPr>
    </w:p>
    <w:p w14:paraId="57BB0BD8" w14:textId="334B8984" w:rsidR="00990DAD" w:rsidRPr="00C17583" w:rsidRDefault="00AF7373" w:rsidP="002B67EA">
      <w:pPr>
        <w:rPr>
          <w:iCs/>
          <w:sz w:val="22"/>
          <w:szCs w:val="22"/>
        </w:rPr>
      </w:pPr>
      <w:r w:rsidRPr="003F46C5">
        <w:rPr>
          <w:sz w:val="22"/>
          <w:szCs w:val="22"/>
        </w:rPr>
        <w:t>Description</w:t>
      </w:r>
      <w:r w:rsidR="002B67EA" w:rsidRPr="003F46C5">
        <w:rPr>
          <w:iCs/>
          <w:sz w:val="22"/>
          <w:szCs w:val="22"/>
        </w:rPr>
        <w:t xml:space="preserve">: </w:t>
      </w:r>
      <w:r w:rsidR="00550B68">
        <w:rPr>
          <w:iCs/>
          <w:sz w:val="22"/>
          <w:szCs w:val="22"/>
        </w:rPr>
        <w:t xml:space="preserve">Early detection and treatment are important for control of tuberculosis transmission. </w:t>
      </w:r>
      <w:r w:rsidR="0048691C">
        <w:rPr>
          <w:iCs/>
          <w:sz w:val="22"/>
          <w:szCs w:val="22"/>
        </w:rPr>
        <w:t>Here</w:t>
      </w:r>
      <w:r w:rsidR="00F76A45">
        <w:rPr>
          <w:iCs/>
          <w:sz w:val="22"/>
          <w:szCs w:val="22"/>
        </w:rPr>
        <w:t>,</w:t>
      </w:r>
      <w:r w:rsidR="0048691C">
        <w:rPr>
          <w:iCs/>
          <w:sz w:val="22"/>
          <w:szCs w:val="22"/>
        </w:rPr>
        <w:t xml:space="preserve"> researchers demonstrate a microarray</w:t>
      </w:r>
      <w:r w:rsidR="005E5D56">
        <w:rPr>
          <w:iCs/>
          <w:sz w:val="22"/>
          <w:szCs w:val="22"/>
        </w:rPr>
        <w:t xml:space="preserve"> workflow</w:t>
      </w:r>
      <w:r w:rsidR="00F76A45">
        <w:rPr>
          <w:iCs/>
          <w:sz w:val="22"/>
          <w:szCs w:val="22"/>
        </w:rPr>
        <w:t xml:space="preserve"> </w:t>
      </w:r>
      <w:r w:rsidR="0048691C">
        <w:rPr>
          <w:iCs/>
          <w:sz w:val="22"/>
          <w:szCs w:val="22"/>
        </w:rPr>
        <w:t xml:space="preserve">for detection and characterization of multi-drug resistant </w:t>
      </w:r>
      <w:r w:rsidR="0048691C">
        <w:rPr>
          <w:i/>
          <w:iCs/>
          <w:sz w:val="22"/>
          <w:szCs w:val="22"/>
        </w:rPr>
        <w:t>Mycobacterium tuberculosis</w:t>
      </w:r>
      <w:r w:rsidR="00764A0B">
        <w:rPr>
          <w:iCs/>
          <w:sz w:val="22"/>
          <w:szCs w:val="22"/>
        </w:rPr>
        <w:t xml:space="preserve">, which tests for the presence of </w:t>
      </w:r>
      <w:r w:rsidR="005E5D56">
        <w:rPr>
          <w:iCs/>
          <w:sz w:val="22"/>
          <w:szCs w:val="22"/>
        </w:rPr>
        <w:t>genetic variants</w:t>
      </w:r>
      <w:r w:rsidR="00764A0B">
        <w:rPr>
          <w:iCs/>
          <w:sz w:val="22"/>
          <w:szCs w:val="22"/>
        </w:rPr>
        <w:t xml:space="preserve"> known to confer antibiotic resistance.</w:t>
      </w:r>
      <w:r w:rsidR="003F46C5" w:rsidRPr="00C17583">
        <w:rPr>
          <w:iCs/>
          <w:sz w:val="22"/>
          <w:szCs w:val="22"/>
        </w:rPr>
        <w:t xml:space="preserve"> </w:t>
      </w:r>
      <w:r w:rsidR="00764A0B">
        <w:rPr>
          <w:iCs/>
          <w:sz w:val="22"/>
          <w:szCs w:val="22"/>
        </w:rPr>
        <w:t>By combining the steps for sample amplification and microarray hybridization, t</w:t>
      </w:r>
      <w:r w:rsidR="00550B68">
        <w:rPr>
          <w:iCs/>
          <w:sz w:val="22"/>
          <w:szCs w:val="22"/>
        </w:rPr>
        <w:t xml:space="preserve">his simplified process is </w:t>
      </w:r>
      <w:r w:rsidR="00764A0B">
        <w:rPr>
          <w:iCs/>
          <w:sz w:val="22"/>
          <w:szCs w:val="22"/>
        </w:rPr>
        <w:t xml:space="preserve">more </w:t>
      </w:r>
      <w:r w:rsidR="00550B68">
        <w:rPr>
          <w:iCs/>
          <w:sz w:val="22"/>
          <w:szCs w:val="22"/>
        </w:rPr>
        <w:t xml:space="preserve">amenable </w:t>
      </w:r>
      <w:r w:rsidR="00764A0B">
        <w:rPr>
          <w:iCs/>
          <w:sz w:val="22"/>
          <w:szCs w:val="22"/>
        </w:rPr>
        <w:t xml:space="preserve">for </w:t>
      </w:r>
      <w:r w:rsidR="00550B68">
        <w:rPr>
          <w:iCs/>
          <w:sz w:val="22"/>
          <w:szCs w:val="22"/>
        </w:rPr>
        <w:t>use in low-resource settings.</w:t>
      </w:r>
    </w:p>
    <w:p w14:paraId="3E4B597C" w14:textId="77777777" w:rsidR="003F46C5" w:rsidRPr="00C17583" w:rsidRDefault="003F46C5" w:rsidP="002B67EA">
      <w:pPr>
        <w:rPr>
          <w:iCs/>
          <w:sz w:val="22"/>
          <w:szCs w:val="22"/>
        </w:rPr>
      </w:pPr>
    </w:p>
    <w:p w14:paraId="3DC245B2" w14:textId="0D210CFD" w:rsidR="00990DAD" w:rsidRPr="00EF6BE8" w:rsidRDefault="00990DAD" w:rsidP="00990DAD">
      <w:pPr>
        <w:rPr>
          <w:sz w:val="22"/>
          <w:szCs w:val="22"/>
        </w:rPr>
      </w:pPr>
      <w:r w:rsidRPr="00C17583">
        <w:rPr>
          <w:iCs/>
          <w:sz w:val="22"/>
          <w:szCs w:val="22"/>
        </w:rPr>
        <w:t xml:space="preserve">3. </w:t>
      </w:r>
      <w:r w:rsidR="0048691C" w:rsidRPr="0048691C">
        <w:rPr>
          <w:iCs/>
          <w:sz w:val="22"/>
          <w:szCs w:val="22"/>
        </w:rPr>
        <w:t xml:space="preserve">An Allele-specific Gene Expression Assay to Test the Functional Basis of Genetic Associations </w:t>
      </w:r>
      <w:r w:rsidR="00C17583" w:rsidRPr="00C17583">
        <w:rPr>
          <w:b/>
          <w:sz w:val="22"/>
          <w:szCs w:val="22"/>
        </w:rPr>
        <w:t>(</w:t>
      </w:r>
      <w:r w:rsidR="0048691C">
        <w:rPr>
          <w:b/>
          <w:sz w:val="22"/>
          <w:szCs w:val="22"/>
        </w:rPr>
        <w:t>2279</w:t>
      </w:r>
      <w:r w:rsidR="00106F72">
        <w:rPr>
          <w:b/>
          <w:sz w:val="22"/>
          <w:szCs w:val="22"/>
        </w:rPr>
        <w:t xml:space="preserve"> Thumbnail @ 5:1</w:t>
      </w:r>
      <w:r w:rsidR="009D6B4F">
        <w:rPr>
          <w:b/>
          <w:sz w:val="22"/>
          <w:szCs w:val="22"/>
        </w:rPr>
        <w:t>7</w:t>
      </w:r>
      <w:r w:rsidR="00DD7281" w:rsidRPr="00C17583">
        <w:rPr>
          <w:b/>
          <w:sz w:val="22"/>
          <w:szCs w:val="22"/>
        </w:rPr>
        <w:t xml:space="preserve">– </w:t>
      </w:r>
      <w:r w:rsidR="009D6B4F">
        <w:rPr>
          <w:b/>
          <w:sz w:val="22"/>
          <w:szCs w:val="22"/>
        </w:rPr>
        <w:t xml:space="preserve">Experimental workflow </w:t>
      </w:r>
      <w:r w:rsidR="00C17583" w:rsidRPr="00EF6BE8">
        <w:rPr>
          <w:b/>
          <w:sz w:val="22"/>
          <w:szCs w:val="22"/>
        </w:rPr>
        <w:t>schematic</w:t>
      </w:r>
      <w:r w:rsidRPr="00EF6BE8">
        <w:rPr>
          <w:b/>
          <w:sz w:val="22"/>
          <w:szCs w:val="22"/>
        </w:rPr>
        <w:t>)</w:t>
      </w:r>
    </w:p>
    <w:p w14:paraId="60F88A8A" w14:textId="77777777" w:rsidR="00990DAD" w:rsidRPr="00EF6BE8" w:rsidRDefault="00990DAD" w:rsidP="00990DAD">
      <w:pPr>
        <w:rPr>
          <w:sz w:val="22"/>
          <w:szCs w:val="22"/>
        </w:rPr>
      </w:pPr>
    </w:p>
    <w:p w14:paraId="39E7B7E9" w14:textId="477BFF62" w:rsidR="00990DAD" w:rsidRPr="008752D3" w:rsidRDefault="00AF7373" w:rsidP="00990DAD">
      <w:pPr>
        <w:rPr>
          <w:sz w:val="22"/>
          <w:szCs w:val="22"/>
        </w:rPr>
      </w:pPr>
      <w:r w:rsidRPr="00EF6BE8">
        <w:rPr>
          <w:sz w:val="22"/>
          <w:szCs w:val="22"/>
        </w:rPr>
        <w:t>Description</w:t>
      </w:r>
      <w:r w:rsidR="00990DAD" w:rsidRPr="00EF6BE8">
        <w:rPr>
          <w:sz w:val="22"/>
          <w:szCs w:val="22"/>
        </w:rPr>
        <w:t xml:space="preserve">: </w:t>
      </w:r>
      <w:r w:rsidR="009D6B4F">
        <w:rPr>
          <w:sz w:val="22"/>
          <w:szCs w:val="22"/>
        </w:rPr>
        <w:t xml:space="preserve">In this video, </w:t>
      </w:r>
      <w:r w:rsidR="00E279E3">
        <w:rPr>
          <w:sz w:val="22"/>
          <w:szCs w:val="22"/>
        </w:rPr>
        <w:t xml:space="preserve">an experiment is presented </w:t>
      </w:r>
      <w:r w:rsidR="00D74121">
        <w:rPr>
          <w:sz w:val="22"/>
          <w:szCs w:val="22"/>
        </w:rPr>
        <w:t xml:space="preserve">to study the effect of SNPs </w:t>
      </w:r>
      <w:r w:rsidR="00E279E3">
        <w:rPr>
          <w:sz w:val="22"/>
          <w:szCs w:val="22"/>
        </w:rPr>
        <w:t>on gene expression</w:t>
      </w:r>
      <w:r w:rsidR="00D74121">
        <w:rPr>
          <w:sz w:val="22"/>
          <w:szCs w:val="22"/>
        </w:rPr>
        <w:t xml:space="preserve">. </w:t>
      </w:r>
      <w:r w:rsidR="001C3484">
        <w:rPr>
          <w:sz w:val="22"/>
          <w:szCs w:val="22"/>
        </w:rPr>
        <w:t>By</w:t>
      </w:r>
      <w:r w:rsidR="00D74121">
        <w:rPr>
          <w:sz w:val="22"/>
          <w:szCs w:val="22"/>
        </w:rPr>
        <w:t xml:space="preserve"> a clever s</w:t>
      </w:r>
      <w:r w:rsidR="001C3484">
        <w:rPr>
          <w:sz w:val="22"/>
          <w:szCs w:val="22"/>
        </w:rPr>
        <w:t>e</w:t>
      </w:r>
      <w:r w:rsidR="00D74121">
        <w:rPr>
          <w:sz w:val="22"/>
          <w:szCs w:val="22"/>
        </w:rPr>
        <w:t xml:space="preserve">lection of </w:t>
      </w:r>
      <w:r w:rsidR="001C3484">
        <w:rPr>
          <w:sz w:val="22"/>
          <w:szCs w:val="22"/>
        </w:rPr>
        <w:t xml:space="preserve">cell lines as well as SNPs that are located </w:t>
      </w:r>
      <w:r w:rsidR="00DD242E">
        <w:rPr>
          <w:sz w:val="22"/>
          <w:szCs w:val="22"/>
        </w:rPr>
        <w:t xml:space="preserve">both </w:t>
      </w:r>
      <w:r w:rsidR="001C3484">
        <w:rPr>
          <w:sz w:val="22"/>
          <w:szCs w:val="22"/>
        </w:rPr>
        <w:t xml:space="preserve">in transcribed and </w:t>
      </w:r>
      <w:proofErr w:type="spellStart"/>
      <w:r w:rsidR="001C3484">
        <w:rPr>
          <w:sz w:val="22"/>
          <w:szCs w:val="22"/>
        </w:rPr>
        <w:t>untranscribed</w:t>
      </w:r>
      <w:proofErr w:type="spellEnd"/>
      <w:r w:rsidR="001C3484">
        <w:rPr>
          <w:sz w:val="22"/>
          <w:szCs w:val="22"/>
        </w:rPr>
        <w:t xml:space="preserve"> </w:t>
      </w:r>
      <w:r w:rsidR="005E5D56">
        <w:rPr>
          <w:sz w:val="22"/>
          <w:szCs w:val="22"/>
        </w:rPr>
        <w:t>sequences</w:t>
      </w:r>
      <w:r w:rsidR="001C3484">
        <w:rPr>
          <w:sz w:val="22"/>
          <w:szCs w:val="22"/>
        </w:rPr>
        <w:t>, the researchers were able to use p</w:t>
      </w:r>
      <w:r w:rsidR="00D74121">
        <w:rPr>
          <w:sz w:val="22"/>
          <w:szCs w:val="22"/>
        </w:rPr>
        <w:t xml:space="preserve">rimer extension assays to generate </w:t>
      </w:r>
      <w:r w:rsidR="001C3484">
        <w:rPr>
          <w:sz w:val="22"/>
          <w:szCs w:val="22"/>
        </w:rPr>
        <w:t xml:space="preserve">SNP-containing DNA fragments. These were then </w:t>
      </w:r>
      <w:r w:rsidR="009D6B4F">
        <w:rPr>
          <w:sz w:val="22"/>
          <w:szCs w:val="22"/>
        </w:rPr>
        <w:t>quantitat</w:t>
      </w:r>
      <w:r w:rsidR="001C3484">
        <w:rPr>
          <w:sz w:val="22"/>
          <w:szCs w:val="22"/>
        </w:rPr>
        <w:t>ed using</w:t>
      </w:r>
      <w:r w:rsidR="009D6B4F">
        <w:rPr>
          <w:sz w:val="22"/>
          <w:szCs w:val="22"/>
        </w:rPr>
        <w:t xml:space="preserve"> MALDI-TOF mass sp</w:t>
      </w:r>
      <w:r w:rsidR="001712D2">
        <w:rPr>
          <w:sz w:val="22"/>
          <w:szCs w:val="22"/>
        </w:rPr>
        <w:t>ectrometry</w:t>
      </w:r>
      <w:r w:rsidR="00E06ABE">
        <w:rPr>
          <w:sz w:val="22"/>
          <w:szCs w:val="22"/>
        </w:rPr>
        <w:t>, a tech</w:t>
      </w:r>
      <w:r w:rsidR="00576309">
        <w:rPr>
          <w:sz w:val="22"/>
          <w:szCs w:val="22"/>
        </w:rPr>
        <w:t xml:space="preserve">nique capable of </w:t>
      </w:r>
      <w:r w:rsidR="001C3484">
        <w:rPr>
          <w:sz w:val="22"/>
          <w:szCs w:val="22"/>
        </w:rPr>
        <w:t>differentiating the fragments based on the</w:t>
      </w:r>
      <w:r w:rsidR="00576309">
        <w:rPr>
          <w:sz w:val="22"/>
          <w:szCs w:val="22"/>
        </w:rPr>
        <w:t xml:space="preserve"> small mass changes</w:t>
      </w:r>
      <w:r w:rsidR="001C3484">
        <w:rPr>
          <w:sz w:val="22"/>
          <w:szCs w:val="22"/>
        </w:rPr>
        <w:t xml:space="preserve"> caused by the single nucleotide sequence difference</w:t>
      </w:r>
      <w:r w:rsidR="005E5D56">
        <w:rPr>
          <w:sz w:val="22"/>
          <w:szCs w:val="22"/>
        </w:rPr>
        <w:t>s</w:t>
      </w:r>
      <w:r w:rsidR="001712D2">
        <w:rPr>
          <w:sz w:val="22"/>
          <w:szCs w:val="22"/>
        </w:rPr>
        <w:t>. Results indicate</w:t>
      </w:r>
      <w:r w:rsidR="001C3484">
        <w:rPr>
          <w:sz w:val="22"/>
          <w:szCs w:val="22"/>
        </w:rPr>
        <w:t>d whether a</w:t>
      </w:r>
      <w:r w:rsidR="005E5D56">
        <w:rPr>
          <w:sz w:val="22"/>
          <w:szCs w:val="22"/>
        </w:rPr>
        <w:t xml:space="preserve"> disease-associated</w:t>
      </w:r>
      <w:r w:rsidR="009D6B4F">
        <w:rPr>
          <w:sz w:val="22"/>
          <w:szCs w:val="22"/>
        </w:rPr>
        <w:t xml:space="preserve"> SNP alter</w:t>
      </w:r>
      <w:r w:rsidR="001C3484">
        <w:rPr>
          <w:sz w:val="22"/>
          <w:szCs w:val="22"/>
        </w:rPr>
        <w:t>ed the</w:t>
      </w:r>
      <w:r w:rsidR="009D6B4F">
        <w:rPr>
          <w:sz w:val="22"/>
          <w:szCs w:val="22"/>
        </w:rPr>
        <w:t xml:space="preserve"> expression </w:t>
      </w:r>
      <w:r w:rsidR="001C3484">
        <w:rPr>
          <w:sz w:val="22"/>
          <w:szCs w:val="22"/>
        </w:rPr>
        <w:t xml:space="preserve">level </w:t>
      </w:r>
      <w:r w:rsidR="009D6B4F">
        <w:rPr>
          <w:sz w:val="22"/>
          <w:szCs w:val="22"/>
        </w:rPr>
        <w:t>of a target gene.</w:t>
      </w:r>
    </w:p>
    <w:p w14:paraId="09872F14" w14:textId="77777777" w:rsidR="00990DAD" w:rsidRPr="008752D3" w:rsidRDefault="00990DAD" w:rsidP="0001046F">
      <w:pPr>
        <w:tabs>
          <w:tab w:val="left" w:pos="7830"/>
        </w:tabs>
        <w:rPr>
          <w:sz w:val="22"/>
          <w:szCs w:val="22"/>
        </w:rPr>
      </w:pPr>
    </w:p>
    <w:p w14:paraId="2225C60B" w14:textId="774B3EA5" w:rsidR="00990DAD" w:rsidRPr="008752D3" w:rsidRDefault="00990DAD" w:rsidP="00990DAD">
      <w:pPr>
        <w:rPr>
          <w:b/>
          <w:sz w:val="22"/>
          <w:szCs w:val="22"/>
        </w:rPr>
      </w:pPr>
      <w:r w:rsidRPr="008752D3">
        <w:rPr>
          <w:sz w:val="22"/>
          <w:szCs w:val="22"/>
        </w:rPr>
        <w:t xml:space="preserve">4. </w:t>
      </w:r>
      <w:r w:rsidR="009D6B4F" w:rsidRPr="009D6B4F">
        <w:rPr>
          <w:sz w:val="22"/>
          <w:szCs w:val="22"/>
        </w:rPr>
        <w:t xml:space="preserve">Rapid and Efficient Zebrafish Genotyping Using PCR with High-resolution Melt Analysis </w:t>
      </w:r>
      <w:r w:rsidR="00B60A6D" w:rsidRPr="008752D3">
        <w:rPr>
          <w:b/>
          <w:sz w:val="22"/>
          <w:szCs w:val="22"/>
        </w:rPr>
        <w:t>(</w:t>
      </w:r>
      <w:r w:rsidR="008752D3" w:rsidRPr="008752D3">
        <w:rPr>
          <w:b/>
          <w:sz w:val="22"/>
          <w:szCs w:val="22"/>
        </w:rPr>
        <w:t>5</w:t>
      </w:r>
      <w:r w:rsidR="009D6B4F">
        <w:rPr>
          <w:b/>
          <w:sz w:val="22"/>
          <w:szCs w:val="22"/>
        </w:rPr>
        <w:t>1138</w:t>
      </w:r>
      <w:r w:rsidR="00DD7281" w:rsidRPr="008752D3">
        <w:rPr>
          <w:b/>
          <w:sz w:val="22"/>
          <w:szCs w:val="22"/>
        </w:rPr>
        <w:t xml:space="preserve"> Thumbnail @ </w:t>
      </w:r>
      <w:r w:rsidR="00C17D2B">
        <w:rPr>
          <w:b/>
          <w:sz w:val="22"/>
          <w:szCs w:val="22"/>
        </w:rPr>
        <w:t>6:00</w:t>
      </w:r>
      <w:r w:rsidR="00DD7281" w:rsidRPr="008752D3">
        <w:rPr>
          <w:b/>
          <w:sz w:val="22"/>
          <w:szCs w:val="22"/>
        </w:rPr>
        <w:t xml:space="preserve"> – </w:t>
      </w:r>
      <w:r w:rsidR="00C17D2B">
        <w:rPr>
          <w:b/>
          <w:sz w:val="22"/>
          <w:szCs w:val="22"/>
        </w:rPr>
        <w:t>Graph of melting curves</w:t>
      </w:r>
      <w:r w:rsidR="00B60A6D" w:rsidRPr="008752D3">
        <w:rPr>
          <w:b/>
          <w:sz w:val="22"/>
          <w:szCs w:val="22"/>
        </w:rPr>
        <w:t>)</w:t>
      </w:r>
    </w:p>
    <w:p w14:paraId="1E2B5B2E" w14:textId="77777777" w:rsidR="00B60A6D" w:rsidRPr="008752D3" w:rsidRDefault="00B60A6D" w:rsidP="00990DAD">
      <w:pPr>
        <w:rPr>
          <w:sz w:val="22"/>
          <w:szCs w:val="22"/>
        </w:rPr>
      </w:pPr>
    </w:p>
    <w:p w14:paraId="0055BC9F" w14:textId="5A17E1C1" w:rsidR="00B60A6D" w:rsidRPr="002748F5" w:rsidRDefault="00AF7373" w:rsidP="00990DAD">
      <w:pPr>
        <w:rPr>
          <w:sz w:val="22"/>
          <w:szCs w:val="22"/>
        </w:rPr>
      </w:pPr>
      <w:r w:rsidRPr="008752D3">
        <w:rPr>
          <w:sz w:val="22"/>
          <w:szCs w:val="22"/>
        </w:rPr>
        <w:t>Description</w:t>
      </w:r>
      <w:r w:rsidR="00B60A6D" w:rsidRPr="008752D3">
        <w:rPr>
          <w:sz w:val="22"/>
          <w:szCs w:val="22"/>
        </w:rPr>
        <w:t>:</w:t>
      </w:r>
      <w:r w:rsidR="0088003F" w:rsidRPr="008752D3">
        <w:rPr>
          <w:sz w:val="22"/>
          <w:szCs w:val="22"/>
        </w:rPr>
        <w:t xml:space="preserve"> </w:t>
      </w:r>
      <w:r w:rsidR="00550B68">
        <w:rPr>
          <w:sz w:val="22"/>
          <w:szCs w:val="22"/>
        </w:rPr>
        <w:t xml:space="preserve">Here, scientists </w:t>
      </w:r>
      <w:r w:rsidR="005922FB">
        <w:rPr>
          <w:sz w:val="22"/>
          <w:szCs w:val="22"/>
        </w:rPr>
        <w:t xml:space="preserve">demonstrate </w:t>
      </w:r>
      <w:r w:rsidR="00550B68">
        <w:rPr>
          <w:sz w:val="22"/>
          <w:szCs w:val="22"/>
        </w:rPr>
        <w:t>a protocol for using</w:t>
      </w:r>
      <w:r w:rsidR="009D6B4F">
        <w:rPr>
          <w:sz w:val="22"/>
          <w:szCs w:val="22"/>
        </w:rPr>
        <w:t xml:space="preserve"> high-resolution melt analysis</w:t>
      </w:r>
      <w:r w:rsidR="001712D2">
        <w:rPr>
          <w:sz w:val="22"/>
          <w:szCs w:val="22"/>
        </w:rPr>
        <w:t xml:space="preserve"> (HRMA)</w:t>
      </w:r>
      <w:r w:rsidR="009D6B4F">
        <w:rPr>
          <w:sz w:val="22"/>
          <w:szCs w:val="22"/>
        </w:rPr>
        <w:t xml:space="preserve"> to identify variation in targeted genomic regions. Zebrafish genomic DNA is </w:t>
      </w:r>
      <w:r w:rsidR="005922FB">
        <w:rPr>
          <w:sz w:val="22"/>
          <w:szCs w:val="22"/>
        </w:rPr>
        <w:t xml:space="preserve">first </w:t>
      </w:r>
      <w:r w:rsidR="009D6B4F">
        <w:rPr>
          <w:sz w:val="22"/>
          <w:szCs w:val="22"/>
        </w:rPr>
        <w:t>amplified w</w:t>
      </w:r>
      <w:r w:rsidR="001712D2">
        <w:rPr>
          <w:sz w:val="22"/>
          <w:szCs w:val="22"/>
        </w:rPr>
        <w:t xml:space="preserve">ith primers designed </w:t>
      </w:r>
      <w:r w:rsidR="005922FB">
        <w:rPr>
          <w:sz w:val="22"/>
          <w:szCs w:val="22"/>
        </w:rPr>
        <w:t xml:space="preserve">against </w:t>
      </w:r>
      <w:r w:rsidR="001712D2">
        <w:rPr>
          <w:sz w:val="22"/>
          <w:szCs w:val="22"/>
        </w:rPr>
        <w:t>a</w:t>
      </w:r>
      <w:r w:rsidR="009D6B4F">
        <w:rPr>
          <w:sz w:val="22"/>
          <w:szCs w:val="22"/>
        </w:rPr>
        <w:t xml:space="preserve"> region</w:t>
      </w:r>
      <w:r w:rsidR="001712D2">
        <w:rPr>
          <w:sz w:val="22"/>
          <w:szCs w:val="22"/>
        </w:rPr>
        <w:t xml:space="preserve"> of interest</w:t>
      </w:r>
      <w:r w:rsidR="0046380A">
        <w:rPr>
          <w:sz w:val="22"/>
          <w:szCs w:val="22"/>
        </w:rPr>
        <w:t xml:space="preserve">. Because the dissociation, or “melting”, of the two strands of a DNA molecule is affected by its sequence, </w:t>
      </w:r>
      <w:r w:rsidR="009D6B4F">
        <w:rPr>
          <w:sz w:val="22"/>
          <w:szCs w:val="22"/>
        </w:rPr>
        <w:t xml:space="preserve">researchers </w:t>
      </w:r>
      <w:r w:rsidR="0046380A">
        <w:rPr>
          <w:sz w:val="22"/>
          <w:szCs w:val="22"/>
        </w:rPr>
        <w:t xml:space="preserve">can heat the amplified DNA and then examine their “melting curves” </w:t>
      </w:r>
      <w:r w:rsidR="009D6B4F">
        <w:rPr>
          <w:sz w:val="22"/>
          <w:szCs w:val="22"/>
        </w:rPr>
        <w:t>to</w:t>
      </w:r>
      <w:r w:rsidR="001712D2">
        <w:rPr>
          <w:sz w:val="22"/>
          <w:szCs w:val="22"/>
        </w:rPr>
        <w:t xml:space="preserve"> identify sequence differences as small</w:t>
      </w:r>
      <w:r w:rsidR="009D6B4F">
        <w:rPr>
          <w:sz w:val="22"/>
          <w:szCs w:val="22"/>
        </w:rPr>
        <w:t xml:space="preserve"> as </w:t>
      </w:r>
      <w:r w:rsidR="005E5D56">
        <w:rPr>
          <w:sz w:val="22"/>
          <w:szCs w:val="22"/>
        </w:rPr>
        <w:t xml:space="preserve">one </w:t>
      </w:r>
      <w:r w:rsidR="009D6B4F">
        <w:rPr>
          <w:sz w:val="22"/>
          <w:szCs w:val="22"/>
        </w:rPr>
        <w:t>nucleotide.</w:t>
      </w:r>
    </w:p>
    <w:p w14:paraId="7431C91F" w14:textId="77777777" w:rsidR="00B60A6D" w:rsidRPr="001712D2" w:rsidRDefault="00B60A6D" w:rsidP="00990DAD">
      <w:pPr>
        <w:rPr>
          <w:sz w:val="22"/>
          <w:szCs w:val="22"/>
        </w:rPr>
      </w:pPr>
    </w:p>
    <w:p w14:paraId="34FD8E4B" w14:textId="0324B80C" w:rsidR="00B60A6D" w:rsidRPr="001712D2" w:rsidRDefault="00B60A6D" w:rsidP="00F018BC">
      <w:pPr>
        <w:rPr>
          <w:b/>
          <w:sz w:val="22"/>
          <w:szCs w:val="22"/>
        </w:rPr>
      </w:pPr>
      <w:r w:rsidRPr="001712D2">
        <w:rPr>
          <w:sz w:val="22"/>
          <w:szCs w:val="22"/>
        </w:rPr>
        <w:t xml:space="preserve">5. </w:t>
      </w:r>
      <w:r w:rsidR="00F11A54" w:rsidRPr="001712D2">
        <w:rPr>
          <w:sz w:val="22"/>
          <w:szCs w:val="22"/>
        </w:rPr>
        <w:t>DNA-based Fish Species Identification Protocol</w:t>
      </w:r>
      <w:r w:rsidR="005A0FEA" w:rsidRPr="001712D2">
        <w:rPr>
          <w:sz w:val="22"/>
          <w:szCs w:val="22"/>
        </w:rPr>
        <w:t xml:space="preserve"> </w:t>
      </w:r>
      <w:r w:rsidR="008752D3" w:rsidRPr="001712D2">
        <w:rPr>
          <w:b/>
          <w:sz w:val="22"/>
          <w:szCs w:val="22"/>
        </w:rPr>
        <w:t>(</w:t>
      </w:r>
      <w:r w:rsidR="00F11A54" w:rsidRPr="001712D2">
        <w:rPr>
          <w:b/>
          <w:sz w:val="22"/>
          <w:szCs w:val="22"/>
        </w:rPr>
        <w:t>1871</w:t>
      </w:r>
      <w:r w:rsidR="00DD7281" w:rsidRPr="001712D2">
        <w:rPr>
          <w:b/>
          <w:sz w:val="22"/>
          <w:szCs w:val="22"/>
        </w:rPr>
        <w:t xml:space="preserve"> Thumbnail @ </w:t>
      </w:r>
      <w:r w:rsidR="00F11A54" w:rsidRPr="001712D2">
        <w:rPr>
          <w:b/>
          <w:sz w:val="22"/>
          <w:szCs w:val="22"/>
        </w:rPr>
        <w:t>8:20</w:t>
      </w:r>
      <w:r w:rsidR="00681C37" w:rsidRPr="001712D2">
        <w:rPr>
          <w:b/>
          <w:sz w:val="22"/>
          <w:szCs w:val="22"/>
        </w:rPr>
        <w:t xml:space="preserve"> – </w:t>
      </w:r>
      <w:r w:rsidR="00F11A54" w:rsidRPr="001712D2">
        <w:rPr>
          <w:b/>
          <w:sz w:val="22"/>
          <w:szCs w:val="22"/>
        </w:rPr>
        <w:t>RFLP results screen</w:t>
      </w:r>
      <w:r w:rsidR="005A0FEA" w:rsidRPr="001712D2">
        <w:rPr>
          <w:b/>
          <w:sz w:val="22"/>
          <w:szCs w:val="22"/>
        </w:rPr>
        <w:t>)</w:t>
      </w:r>
    </w:p>
    <w:p w14:paraId="7E48A7FD" w14:textId="77777777" w:rsidR="00F018BC" w:rsidRPr="001712D2" w:rsidRDefault="00F018BC" w:rsidP="00990DAD">
      <w:pPr>
        <w:rPr>
          <w:sz w:val="22"/>
          <w:szCs w:val="22"/>
        </w:rPr>
      </w:pPr>
    </w:p>
    <w:p w14:paraId="44617F75" w14:textId="2D80B9F3" w:rsidR="009B1F39" w:rsidRPr="001712D2" w:rsidRDefault="00E56B86" w:rsidP="00990DAD">
      <w:pPr>
        <w:rPr>
          <w:sz w:val="22"/>
          <w:szCs w:val="22"/>
        </w:rPr>
      </w:pPr>
      <w:r w:rsidRPr="001712D2">
        <w:rPr>
          <w:sz w:val="22"/>
          <w:szCs w:val="22"/>
        </w:rPr>
        <w:t>Description</w:t>
      </w:r>
      <w:r w:rsidR="00F018BC" w:rsidRPr="001712D2">
        <w:rPr>
          <w:sz w:val="22"/>
          <w:szCs w:val="22"/>
        </w:rPr>
        <w:t xml:space="preserve">: </w:t>
      </w:r>
      <w:r w:rsidR="00F41F27">
        <w:rPr>
          <w:sz w:val="22"/>
          <w:szCs w:val="22"/>
        </w:rPr>
        <w:t>Seafood fraud, or the intentional mislabeling of seafood products</w:t>
      </w:r>
      <w:r w:rsidR="009C3811">
        <w:rPr>
          <w:sz w:val="22"/>
          <w:szCs w:val="22"/>
        </w:rPr>
        <w:t>,</w:t>
      </w:r>
      <w:r w:rsidR="00F41F27">
        <w:rPr>
          <w:sz w:val="22"/>
          <w:szCs w:val="22"/>
        </w:rPr>
        <w:t xml:space="preserve"> is a common occurrence. This article presents</w:t>
      </w:r>
      <w:r w:rsidR="00F11A54" w:rsidRPr="001712D2">
        <w:rPr>
          <w:sz w:val="22"/>
          <w:szCs w:val="22"/>
        </w:rPr>
        <w:t xml:space="preserve"> a protocol for </w:t>
      </w:r>
      <w:r w:rsidR="009C3811">
        <w:rPr>
          <w:sz w:val="22"/>
          <w:szCs w:val="22"/>
        </w:rPr>
        <w:t xml:space="preserve">fish species identification </w:t>
      </w:r>
      <w:r w:rsidR="00616777">
        <w:rPr>
          <w:sz w:val="22"/>
          <w:szCs w:val="22"/>
        </w:rPr>
        <w:t>using</w:t>
      </w:r>
      <w:r w:rsidR="009C3811">
        <w:rPr>
          <w:sz w:val="22"/>
          <w:szCs w:val="22"/>
        </w:rPr>
        <w:t xml:space="preserve"> </w:t>
      </w:r>
      <w:r w:rsidR="00F11A54" w:rsidRPr="001712D2">
        <w:rPr>
          <w:sz w:val="22"/>
          <w:szCs w:val="22"/>
        </w:rPr>
        <w:t>restriction length fragment polymorphism (RFLP) analysis</w:t>
      </w:r>
      <w:r w:rsidR="009C3811">
        <w:rPr>
          <w:sz w:val="22"/>
          <w:szCs w:val="22"/>
        </w:rPr>
        <w:t xml:space="preserve">, </w:t>
      </w:r>
      <w:r w:rsidR="00F11A54" w:rsidRPr="001712D2">
        <w:rPr>
          <w:sz w:val="22"/>
          <w:szCs w:val="22"/>
        </w:rPr>
        <w:t>Res</w:t>
      </w:r>
      <w:r w:rsidR="00576309">
        <w:rPr>
          <w:sz w:val="22"/>
          <w:szCs w:val="22"/>
        </w:rPr>
        <w:t>triction enzyme digestion of individual</w:t>
      </w:r>
      <w:r w:rsidR="00F11A54" w:rsidRPr="001712D2">
        <w:rPr>
          <w:sz w:val="22"/>
          <w:szCs w:val="22"/>
        </w:rPr>
        <w:t xml:space="preserve"> </w:t>
      </w:r>
      <w:r w:rsidR="009C3811">
        <w:rPr>
          <w:sz w:val="22"/>
          <w:szCs w:val="22"/>
        </w:rPr>
        <w:t xml:space="preserve">DNA </w:t>
      </w:r>
      <w:r w:rsidR="00F11A54" w:rsidRPr="001712D2">
        <w:rPr>
          <w:sz w:val="22"/>
          <w:szCs w:val="22"/>
        </w:rPr>
        <w:t>sample</w:t>
      </w:r>
      <w:r w:rsidR="00576309">
        <w:rPr>
          <w:sz w:val="22"/>
          <w:szCs w:val="22"/>
        </w:rPr>
        <w:t>s generate</w:t>
      </w:r>
      <w:r w:rsidR="005E5D56">
        <w:rPr>
          <w:sz w:val="22"/>
          <w:szCs w:val="22"/>
        </w:rPr>
        <w:t>d</w:t>
      </w:r>
      <w:r w:rsidR="00576309">
        <w:rPr>
          <w:sz w:val="22"/>
          <w:szCs w:val="22"/>
        </w:rPr>
        <w:t xml:space="preserve"> different </w:t>
      </w:r>
      <w:r w:rsidR="00616777">
        <w:rPr>
          <w:sz w:val="22"/>
          <w:szCs w:val="22"/>
        </w:rPr>
        <w:t xml:space="preserve">fragment </w:t>
      </w:r>
      <w:r w:rsidR="00576309">
        <w:rPr>
          <w:sz w:val="22"/>
          <w:szCs w:val="22"/>
        </w:rPr>
        <w:t xml:space="preserve">patterns based on the </w:t>
      </w:r>
      <w:r w:rsidR="00616777">
        <w:rPr>
          <w:sz w:val="22"/>
          <w:szCs w:val="22"/>
        </w:rPr>
        <w:t>sequence-dependent</w:t>
      </w:r>
      <w:r w:rsidR="00576309">
        <w:rPr>
          <w:sz w:val="22"/>
          <w:szCs w:val="22"/>
        </w:rPr>
        <w:t xml:space="preserve"> presence and location o</w:t>
      </w:r>
      <w:r w:rsidR="009C3811">
        <w:rPr>
          <w:sz w:val="22"/>
          <w:szCs w:val="22"/>
        </w:rPr>
        <w:t>f</w:t>
      </w:r>
      <w:r w:rsidR="00576309">
        <w:rPr>
          <w:sz w:val="22"/>
          <w:szCs w:val="22"/>
        </w:rPr>
        <w:t xml:space="preserve"> restriction sites. These </w:t>
      </w:r>
      <w:r w:rsidR="00616777">
        <w:rPr>
          <w:sz w:val="22"/>
          <w:szCs w:val="22"/>
        </w:rPr>
        <w:t>fragments</w:t>
      </w:r>
      <w:r w:rsidR="00576309">
        <w:rPr>
          <w:sz w:val="22"/>
          <w:szCs w:val="22"/>
        </w:rPr>
        <w:t xml:space="preserve"> </w:t>
      </w:r>
      <w:r w:rsidR="005E5D56">
        <w:rPr>
          <w:sz w:val="22"/>
          <w:szCs w:val="22"/>
        </w:rPr>
        <w:t>we</w:t>
      </w:r>
      <w:r w:rsidR="00576309">
        <w:rPr>
          <w:sz w:val="22"/>
          <w:szCs w:val="22"/>
        </w:rPr>
        <w:t>re</w:t>
      </w:r>
      <w:r w:rsidR="00F11A54" w:rsidRPr="001712D2">
        <w:rPr>
          <w:sz w:val="22"/>
          <w:szCs w:val="22"/>
        </w:rPr>
        <w:t xml:space="preserve"> analyzed </w:t>
      </w:r>
      <w:r w:rsidR="009E1B6A" w:rsidRPr="001712D2">
        <w:rPr>
          <w:sz w:val="22"/>
          <w:szCs w:val="22"/>
        </w:rPr>
        <w:t xml:space="preserve">using </w:t>
      </w:r>
      <w:proofErr w:type="gramStart"/>
      <w:r w:rsidR="009C3811">
        <w:rPr>
          <w:sz w:val="22"/>
          <w:szCs w:val="22"/>
        </w:rPr>
        <w:t>a</w:t>
      </w:r>
      <w:r w:rsidR="00616777">
        <w:rPr>
          <w:sz w:val="22"/>
          <w:szCs w:val="22"/>
        </w:rPr>
        <w:t xml:space="preserve"> software</w:t>
      </w:r>
      <w:proofErr w:type="gramEnd"/>
      <w:r w:rsidR="00616777">
        <w:rPr>
          <w:sz w:val="22"/>
          <w:szCs w:val="22"/>
        </w:rPr>
        <w:t xml:space="preserve"> called</w:t>
      </w:r>
      <w:r w:rsidR="009C3811">
        <w:rPr>
          <w:sz w:val="22"/>
          <w:szCs w:val="22"/>
        </w:rPr>
        <w:t xml:space="preserve"> </w:t>
      </w:r>
      <w:r w:rsidR="009E1B6A" w:rsidRPr="001712D2">
        <w:rPr>
          <w:sz w:val="22"/>
          <w:szCs w:val="22"/>
        </w:rPr>
        <w:t xml:space="preserve">RFLP </w:t>
      </w:r>
      <w:r w:rsidR="00616777">
        <w:rPr>
          <w:sz w:val="22"/>
          <w:szCs w:val="22"/>
        </w:rPr>
        <w:t>D</w:t>
      </w:r>
      <w:r w:rsidR="009E1B6A" w:rsidRPr="001712D2">
        <w:rPr>
          <w:sz w:val="22"/>
          <w:szCs w:val="22"/>
        </w:rPr>
        <w:t>ecoder</w:t>
      </w:r>
      <w:r w:rsidR="001712D2" w:rsidRPr="001712D2">
        <w:rPr>
          <w:sz w:val="22"/>
          <w:szCs w:val="22"/>
        </w:rPr>
        <w:t>,</w:t>
      </w:r>
      <w:r w:rsidR="009E1B6A" w:rsidRPr="001712D2">
        <w:rPr>
          <w:sz w:val="22"/>
          <w:szCs w:val="22"/>
        </w:rPr>
        <w:t xml:space="preserve"> which match</w:t>
      </w:r>
      <w:r w:rsidR="00616777">
        <w:rPr>
          <w:sz w:val="22"/>
          <w:szCs w:val="22"/>
        </w:rPr>
        <w:t>e</w:t>
      </w:r>
      <w:r w:rsidR="005E5D56">
        <w:rPr>
          <w:sz w:val="22"/>
          <w:szCs w:val="22"/>
        </w:rPr>
        <w:t>d</w:t>
      </w:r>
      <w:r w:rsidR="009E1B6A" w:rsidRPr="001712D2">
        <w:rPr>
          <w:sz w:val="22"/>
          <w:szCs w:val="22"/>
        </w:rPr>
        <w:t xml:space="preserve"> the </w:t>
      </w:r>
      <w:r w:rsidR="00FE29C1">
        <w:rPr>
          <w:sz w:val="22"/>
          <w:szCs w:val="22"/>
        </w:rPr>
        <w:t>test</w:t>
      </w:r>
      <w:r w:rsidR="00FE29C1" w:rsidRPr="001712D2">
        <w:rPr>
          <w:sz w:val="22"/>
          <w:szCs w:val="22"/>
        </w:rPr>
        <w:t xml:space="preserve"> </w:t>
      </w:r>
      <w:r w:rsidR="009E1B6A" w:rsidRPr="001712D2">
        <w:rPr>
          <w:sz w:val="22"/>
          <w:szCs w:val="22"/>
        </w:rPr>
        <w:t>pattern</w:t>
      </w:r>
      <w:r w:rsidR="00616777">
        <w:rPr>
          <w:sz w:val="22"/>
          <w:szCs w:val="22"/>
        </w:rPr>
        <w:t>s</w:t>
      </w:r>
      <w:r w:rsidR="009E1B6A" w:rsidRPr="001712D2">
        <w:rPr>
          <w:sz w:val="22"/>
          <w:szCs w:val="22"/>
        </w:rPr>
        <w:t xml:space="preserve"> with </w:t>
      </w:r>
      <w:r w:rsidR="00FE29C1">
        <w:rPr>
          <w:sz w:val="22"/>
          <w:szCs w:val="22"/>
        </w:rPr>
        <w:t>those</w:t>
      </w:r>
      <w:r w:rsidR="009E1B6A" w:rsidRPr="001712D2">
        <w:rPr>
          <w:sz w:val="22"/>
          <w:szCs w:val="22"/>
        </w:rPr>
        <w:t xml:space="preserve"> from known fish species.</w:t>
      </w:r>
      <w:r w:rsidR="008D546B" w:rsidRPr="001712D2">
        <w:rPr>
          <w:sz w:val="22"/>
          <w:szCs w:val="22"/>
        </w:rPr>
        <w:t xml:space="preserve"> </w:t>
      </w:r>
    </w:p>
    <w:p w14:paraId="00BFA988" w14:textId="77777777" w:rsidR="005A0FEA" w:rsidRPr="001712D2" w:rsidRDefault="005A0FEA" w:rsidP="00990DAD">
      <w:pPr>
        <w:rPr>
          <w:sz w:val="22"/>
          <w:szCs w:val="22"/>
        </w:rPr>
      </w:pPr>
    </w:p>
    <w:p w14:paraId="09F610C1" w14:textId="3FED61BA" w:rsidR="00681C37" w:rsidRPr="001712D2" w:rsidRDefault="00681C37" w:rsidP="00990DAD">
      <w:pPr>
        <w:rPr>
          <w:sz w:val="22"/>
          <w:szCs w:val="22"/>
        </w:rPr>
      </w:pPr>
      <w:r w:rsidRPr="001712D2">
        <w:rPr>
          <w:sz w:val="22"/>
          <w:szCs w:val="22"/>
        </w:rPr>
        <w:t>Related Videos</w:t>
      </w:r>
    </w:p>
    <w:p w14:paraId="36F25610" w14:textId="77777777" w:rsidR="00C17D2B" w:rsidRPr="001712D2" w:rsidRDefault="00C17D2B" w:rsidP="00C17D2B">
      <w:pPr>
        <w:rPr>
          <w:sz w:val="22"/>
          <w:szCs w:val="22"/>
        </w:rPr>
      </w:pPr>
      <w:r w:rsidRPr="001712D2">
        <w:rPr>
          <w:sz w:val="22"/>
          <w:szCs w:val="22"/>
        </w:rPr>
        <w:t>5056 – PCR: The Polymerase Chain Reaction</w:t>
      </w:r>
    </w:p>
    <w:p w14:paraId="2F6E00EA" w14:textId="0844D9E0" w:rsidR="00E6090C" w:rsidRDefault="00E6090C" w:rsidP="00990DAD">
      <w:pPr>
        <w:rPr>
          <w:sz w:val="22"/>
          <w:szCs w:val="22"/>
        </w:rPr>
      </w:pPr>
      <w:r>
        <w:rPr>
          <w:sz w:val="22"/>
          <w:szCs w:val="22"/>
        </w:rPr>
        <w:t>50</w:t>
      </w:r>
      <w:r w:rsidR="00C17D2B">
        <w:rPr>
          <w:sz w:val="22"/>
          <w:szCs w:val="22"/>
        </w:rPr>
        <w:t>70</w:t>
      </w:r>
      <w:r>
        <w:rPr>
          <w:sz w:val="22"/>
          <w:szCs w:val="22"/>
        </w:rPr>
        <w:t xml:space="preserve"> – </w:t>
      </w:r>
      <w:r w:rsidR="00C17D2B">
        <w:rPr>
          <w:sz w:val="22"/>
          <w:szCs w:val="22"/>
        </w:rPr>
        <w:t>Restriction Enzyme Digests</w:t>
      </w:r>
    </w:p>
    <w:p w14:paraId="101B4F43" w14:textId="5FDADD9F" w:rsidR="0060438C" w:rsidRPr="001712D2" w:rsidRDefault="001712D2" w:rsidP="00990DAD">
      <w:pPr>
        <w:rPr>
          <w:sz w:val="22"/>
          <w:szCs w:val="22"/>
        </w:rPr>
      </w:pPr>
      <w:bookmarkStart w:id="0" w:name="_GoBack"/>
      <w:r w:rsidRPr="001712D2">
        <w:rPr>
          <w:sz w:val="22"/>
          <w:szCs w:val="22"/>
        </w:rPr>
        <w:t>516</w:t>
      </w:r>
      <w:r w:rsidR="0060438C" w:rsidRPr="001712D2">
        <w:rPr>
          <w:sz w:val="22"/>
          <w:szCs w:val="22"/>
        </w:rPr>
        <w:t xml:space="preserve">0 – </w:t>
      </w:r>
      <w:r w:rsidRPr="001712D2">
        <w:rPr>
          <w:sz w:val="22"/>
          <w:szCs w:val="22"/>
        </w:rPr>
        <w:t>Mouse Genotyping</w:t>
      </w:r>
    </w:p>
    <w:bookmarkEnd w:id="0"/>
    <w:p w14:paraId="1129D37E" w14:textId="6626B213" w:rsidR="0060438C" w:rsidRPr="001712D2" w:rsidRDefault="0060438C" w:rsidP="00990DAD">
      <w:pPr>
        <w:rPr>
          <w:sz w:val="22"/>
          <w:szCs w:val="22"/>
        </w:rPr>
      </w:pPr>
      <w:r w:rsidRPr="001712D2">
        <w:rPr>
          <w:sz w:val="22"/>
          <w:szCs w:val="22"/>
        </w:rPr>
        <w:t>5</w:t>
      </w:r>
      <w:r w:rsidR="00C6371A">
        <w:rPr>
          <w:sz w:val="22"/>
          <w:szCs w:val="22"/>
        </w:rPr>
        <w:t>543</w:t>
      </w:r>
      <w:r w:rsidRPr="001712D2">
        <w:rPr>
          <w:sz w:val="22"/>
          <w:szCs w:val="22"/>
        </w:rPr>
        <w:t xml:space="preserve"> –</w:t>
      </w:r>
      <w:r w:rsidR="00550B68">
        <w:rPr>
          <w:sz w:val="22"/>
          <w:szCs w:val="22"/>
        </w:rPr>
        <w:t xml:space="preserve"> Genetics and Disease</w:t>
      </w:r>
    </w:p>
    <w:p w14:paraId="5E4827E2" w14:textId="234CABF6" w:rsidR="005A0FEA" w:rsidRPr="00D3572C" w:rsidRDefault="005A0FEA" w:rsidP="00990DAD">
      <w:pPr>
        <w:rPr>
          <w:sz w:val="22"/>
          <w:szCs w:val="22"/>
        </w:rPr>
      </w:pPr>
    </w:p>
    <w:sectPr w:rsidR="005A0FEA" w:rsidRPr="00D3572C" w:rsidSect="003357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4E5D"/>
    <w:multiLevelType w:val="hybridMultilevel"/>
    <w:tmpl w:val="44AAA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0B"/>
    <w:rsid w:val="0001046F"/>
    <w:rsid w:val="00027509"/>
    <w:rsid w:val="000E1D0C"/>
    <w:rsid w:val="000E1F0C"/>
    <w:rsid w:val="00106F72"/>
    <w:rsid w:val="00130ED2"/>
    <w:rsid w:val="001712D2"/>
    <w:rsid w:val="00191980"/>
    <w:rsid w:val="001B18A3"/>
    <w:rsid w:val="001C3484"/>
    <w:rsid w:val="001D3523"/>
    <w:rsid w:val="002748F5"/>
    <w:rsid w:val="002A1631"/>
    <w:rsid w:val="002B013F"/>
    <w:rsid w:val="002B67EA"/>
    <w:rsid w:val="002C6343"/>
    <w:rsid w:val="00335798"/>
    <w:rsid w:val="003C107A"/>
    <w:rsid w:val="003E0BB5"/>
    <w:rsid w:val="003F024A"/>
    <w:rsid w:val="003F46C5"/>
    <w:rsid w:val="004076EC"/>
    <w:rsid w:val="0046380A"/>
    <w:rsid w:val="0048691C"/>
    <w:rsid w:val="004C364F"/>
    <w:rsid w:val="00520333"/>
    <w:rsid w:val="005334B0"/>
    <w:rsid w:val="00550B68"/>
    <w:rsid w:val="00576309"/>
    <w:rsid w:val="005922FB"/>
    <w:rsid w:val="005A0FEA"/>
    <w:rsid w:val="005E5D56"/>
    <w:rsid w:val="0060438C"/>
    <w:rsid w:val="00616777"/>
    <w:rsid w:val="00641864"/>
    <w:rsid w:val="00681C37"/>
    <w:rsid w:val="00685E22"/>
    <w:rsid w:val="006E02A7"/>
    <w:rsid w:val="0070682B"/>
    <w:rsid w:val="00764A0B"/>
    <w:rsid w:val="00785373"/>
    <w:rsid w:val="007F44B4"/>
    <w:rsid w:val="008038C6"/>
    <w:rsid w:val="00866CEE"/>
    <w:rsid w:val="008752D3"/>
    <w:rsid w:val="0088003F"/>
    <w:rsid w:val="008D546B"/>
    <w:rsid w:val="008F43E5"/>
    <w:rsid w:val="00913631"/>
    <w:rsid w:val="00977392"/>
    <w:rsid w:val="00980804"/>
    <w:rsid w:val="009864CF"/>
    <w:rsid w:val="00990DAD"/>
    <w:rsid w:val="009B1F39"/>
    <w:rsid w:val="009B7FD5"/>
    <w:rsid w:val="009C3811"/>
    <w:rsid w:val="009D6B4F"/>
    <w:rsid w:val="009E1B6A"/>
    <w:rsid w:val="009E5C8F"/>
    <w:rsid w:val="00A053BE"/>
    <w:rsid w:val="00A660EB"/>
    <w:rsid w:val="00AA0CE9"/>
    <w:rsid w:val="00AA388F"/>
    <w:rsid w:val="00AD1C63"/>
    <w:rsid w:val="00AF1DD3"/>
    <w:rsid w:val="00AF7373"/>
    <w:rsid w:val="00B56415"/>
    <w:rsid w:val="00B57916"/>
    <w:rsid w:val="00B60A6D"/>
    <w:rsid w:val="00B91370"/>
    <w:rsid w:val="00BA4780"/>
    <w:rsid w:val="00BC4E89"/>
    <w:rsid w:val="00C052E2"/>
    <w:rsid w:val="00C17583"/>
    <w:rsid w:val="00C17D2B"/>
    <w:rsid w:val="00C20511"/>
    <w:rsid w:val="00C6371A"/>
    <w:rsid w:val="00C80149"/>
    <w:rsid w:val="00CA6CF5"/>
    <w:rsid w:val="00CA7EC1"/>
    <w:rsid w:val="00CB6266"/>
    <w:rsid w:val="00CE4937"/>
    <w:rsid w:val="00D3572C"/>
    <w:rsid w:val="00D4514A"/>
    <w:rsid w:val="00D74121"/>
    <w:rsid w:val="00D9670B"/>
    <w:rsid w:val="00DA1EFD"/>
    <w:rsid w:val="00DD242E"/>
    <w:rsid w:val="00DD7281"/>
    <w:rsid w:val="00E06ABE"/>
    <w:rsid w:val="00E22F34"/>
    <w:rsid w:val="00E279E3"/>
    <w:rsid w:val="00E56B86"/>
    <w:rsid w:val="00E6090C"/>
    <w:rsid w:val="00E946D1"/>
    <w:rsid w:val="00EF6BE8"/>
    <w:rsid w:val="00F018BC"/>
    <w:rsid w:val="00F11A54"/>
    <w:rsid w:val="00F41F27"/>
    <w:rsid w:val="00F4796B"/>
    <w:rsid w:val="00F51EC9"/>
    <w:rsid w:val="00F63CB9"/>
    <w:rsid w:val="00F76A45"/>
    <w:rsid w:val="00F9014C"/>
    <w:rsid w:val="00FD01F7"/>
    <w:rsid w:val="00FE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B43E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3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39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5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7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7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7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737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3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39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5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7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7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7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7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650</Words>
  <Characters>3706</Characters>
  <Application>Microsoft Macintosh Word</Application>
  <DocSecurity>0</DocSecurity>
  <Lines>30</Lines>
  <Paragraphs>8</Paragraphs>
  <ScaleCrop>false</ScaleCrop>
  <Company>My JoVE Corporation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Dipesh Navani</dc:creator>
  <cp:keywords/>
  <dc:description/>
  <cp:lastModifiedBy>Johnny Kung</cp:lastModifiedBy>
  <cp:revision>5</cp:revision>
  <dcterms:created xsi:type="dcterms:W3CDTF">2015-03-09T13:28:00Z</dcterms:created>
  <dcterms:modified xsi:type="dcterms:W3CDTF">2015-03-27T21:48:00Z</dcterms:modified>
</cp:coreProperties>
</file>